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6F783" w14:textId="4E314666" w:rsidR="003C7F18" w:rsidRPr="00E13633" w:rsidRDefault="003C7F18" w:rsidP="003C7F18">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105</w:t>
      </w:r>
      <w:r w:rsidRPr="00E13633">
        <w:rPr>
          <w:rFonts w:cs="Arial"/>
          <w:sz w:val="24"/>
          <w:szCs w:val="24"/>
        </w:rPr>
        <w:tab/>
      </w:r>
      <w:r w:rsidR="003A78F8" w:rsidRPr="003A78F8">
        <w:rPr>
          <w:rFonts w:cs="Arial"/>
          <w:sz w:val="24"/>
          <w:szCs w:val="24"/>
        </w:rPr>
        <w:t>R4-2218137</w:t>
      </w:r>
    </w:p>
    <w:p w14:paraId="799245DC" w14:textId="77777777" w:rsidR="003C7F18" w:rsidRPr="00E13633" w:rsidRDefault="003C7F18" w:rsidP="003C7F18">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Toulouse</w:t>
      </w:r>
      <w:r w:rsidRPr="00E13633">
        <w:rPr>
          <w:rFonts w:eastAsia="SimSun" w:cs="Arial"/>
          <w:sz w:val="24"/>
          <w:szCs w:val="24"/>
        </w:rPr>
        <w:t>,</w:t>
      </w:r>
      <w:r>
        <w:rPr>
          <w:rFonts w:eastAsia="SimSun" w:cs="Arial"/>
          <w:sz w:val="24"/>
          <w:szCs w:val="24"/>
        </w:rPr>
        <w:t xml:space="preserve"> France,</w:t>
      </w:r>
      <w:r w:rsidRPr="00E13633">
        <w:rPr>
          <w:rFonts w:eastAsia="SimSun" w:cs="Arial"/>
          <w:sz w:val="24"/>
          <w:szCs w:val="24"/>
        </w:rPr>
        <w:t xml:space="preserve"> </w:t>
      </w:r>
      <w:r>
        <w:rPr>
          <w:rFonts w:eastAsia="SimSun" w:cs="Arial"/>
          <w:sz w:val="24"/>
          <w:szCs w:val="24"/>
        </w:rPr>
        <w:t>November 14</w:t>
      </w:r>
      <w:r w:rsidRPr="00E13633">
        <w:rPr>
          <w:rFonts w:eastAsia="SimSun" w:cs="Arial"/>
          <w:sz w:val="24"/>
          <w:szCs w:val="24"/>
        </w:rPr>
        <w:t xml:space="preserve"> – </w:t>
      </w:r>
      <w:r>
        <w:rPr>
          <w:rFonts w:eastAsia="SimSun" w:cs="Arial"/>
          <w:sz w:val="24"/>
          <w:szCs w:val="24"/>
        </w:rPr>
        <w:t>November 18</w:t>
      </w:r>
      <w:r w:rsidRPr="00E13633">
        <w:rPr>
          <w:rFonts w:eastAsia="SimSun"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9217A07"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3C7F18">
        <w:rPr>
          <w:rFonts w:ascii="Arial" w:hAnsi="Arial" w:cs="Arial"/>
          <w:b/>
          <w:sz w:val="22"/>
          <w:szCs w:val="22"/>
        </w:rPr>
        <w:t>6.6.2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FFF6F00"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BD5C33" w:rsidRPr="00BD5C33">
        <w:rPr>
          <w:rFonts w:ascii="Arial" w:hAnsi="Arial" w:cs="Arial"/>
          <w:b/>
          <w:sz w:val="22"/>
          <w:szCs w:val="22"/>
        </w:rPr>
        <w:t xml:space="preserve">On </w:t>
      </w:r>
      <w:r w:rsidR="00CB6AE2">
        <w:rPr>
          <w:rFonts w:ascii="Arial" w:hAnsi="Arial" w:cs="Arial"/>
          <w:b/>
          <w:sz w:val="22"/>
          <w:szCs w:val="22"/>
        </w:rPr>
        <w:t>remaining issues of RRM requirement</w:t>
      </w:r>
      <w:r w:rsidR="00BD5C33" w:rsidRPr="00BD5C33">
        <w:rPr>
          <w:rFonts w:ascii="Arial" w:hAnsi="Arial" w:cs="Arial"/>
          <w:b/>
          <w:sz w:val="22"/>
          <w:szCs w:val="22"/>
        </w:rPr>
        <w:t xml:space="preserve"> for </w:t>
      </w:r>
      <w:proofErr w:type="spellStart"/>
      <w:r w:rsidR="00BD5C33" w:rsidRPr="00BD5C33">
        <w:rPr>
          <w:rFonts w:ascii="Arial" w:hAnsi="Arial" w:cs="Arial"/>
          <w:b/>
          <w:sz w:val="22"/>
          <w:szCs w:val="22"/>
        </w:rPr>
        <w:t>RedCap</w:t>
      </w:r>
      <w:proofErr w:type="spellEnd"/>
      <w:r w:rsidR="00BD5C33" w:rsidRPr="00BD5C33">
        <w:rPr>
          <w:rFonts w:ascii="Arial" w:hAnsi="Arial" w:cs="Arial"/>
          <w:b/>
          <w:sz w:val="22"/>
          <w:szCs w:val="22"/>
        </w:rPr>
        <w:t xml:space="preserve"> UE</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742C9BD4" w:rsidR="0085538E" w:rsidRPr="0085538E" w:rsidRDefault="006B510B" w:rsidP="0085538E">
      <w:pPr>
        <w:spacing w:after="120"/>
        <w:jc w:val="both"/>
      </w:pPr>
      <w:r>
        <w:t>In RAN4 #10</w:t>
      </w:r>
      <w:r w:rsidR="00CB6AE2">
        <w:t>4</w:t>
      </w:r>
      <w:r w:rsidR="003C7F18">
        <w:t>-bis-</w:t>
      </w:r>
      <w:r>
        <w:t xml:space="preserve">e meeting, the </w:t>
      </w:r>
      <w:proofErr w:type="gramStart"/>
      <w:r>
        <w:t>WF[</w:t>
      </w:r>
      <w:proofErr w:type="gramEnd"/>
      <w:r>
        <w:t xml:space="preserve">1] for </w:t>
      </w:r>
      <w:proofErr w:type="spellStart"/>
      <w:r w:rsidR="00BD5C33">
        <w:t>RedCap</w:t>
      </w:r>
      <w:proofErr w:type="spellEnd"/>
      <w:r w:rsidR="00BD5C33">
        <w:t xml:space="preserve"> RRM requirements</w:t>
      </w:r>
      <w:r>
        <w:t xml:space="preserve"> was agreed, but there are still some open issues as followings,</w:t>
      </w:r>
    </w:p>
    <w:tbl>
      <w:tblPr>
        <w:tblStyle w:val="TableGrid"/>
        <w:tblW w:w="0" w:type="auto"/>
        <w:tblLook w:val="04A0" w:firstRow="1" w:lastRow="0" w:firstColumn="1" w:lastColumn="0" w:noHBand="0" w:noVBand="1"/>
      </w:tblPr>
      <w:tblGrid>
        <w:gridCol w:w="9629"/>
      </w:tblGrid>
      <w:tr w:rsidR="0085538E" w14:paraId="060D474D" w14:textId="77777777" w:rsidTr="0085538E">
        <w:tc>
          <w:tcPr>
            <w:tcW w:w="9629" w:type="dxa"/>
          </w:tcPr>
          <w:p w14:paraId="0DC82399" w14:textId="77777777" w:rsidR="003C7F18" w:rsidRPr="003C7F18" w:rsidRDefault="003C7F18" w:rsidP="00103627">
            <w:pPr>
              <w:spacing w:after="0"/>
              <w:rPr>
                <w:bCs/>
                <w:color w:val="000000" w:themeColor="text1"/>
                <w:sz w:val="20"/>
                <w:szCs w:val="20"/>
                <w:u w:val="single"/>
                <w:lang w:eastAsia="ko-KR"/>
              </w:rPr>
            </w:pPr>
            <w:r w:rsidRPr="003C7F18">
              <w:rPr>
                <w:bCs/>
                <w:color w:val="000000" w:themeColor="text1"/>
                <w:sz w:val="20"/>
                <w:szCs w:val="20"/>
                <w:highlight w:val="yellow"/>
                <w:u w:val="single"/>
                <w:lang w:eastAsia="ko-KR"/>
              </w:rPr>
              <w:t>Clarification of SDT FR1 requirements</w:t>
            </w:r>
          </w:p>
          <w:p w14:paraId="520A6C10" w14:textId="77777777" w:rsidR="003C7F18" w:rsidRPr="003C7F18" w:rsidRDefault="003C7F18" w:rsidP="00103627">
            <w:pPr>
              <w:spacing w:before="0" w:beforeAutospacing="0" w:after="0"/>
              <w:rPr>
                <w:bCs/>
                <w:color w:val="000000" w:themeColor="text1"/>
                <w:sz w:val="20"/>
                <w:szCs w:val="20"/>
              </w:rPr>
            </w:pPr>
            <w:r w:rsidRPr="003C7F18">
              <w:rPr>
                <w:bCs/>
                <w:i/>
                <w:color w:val="000000" w:themeColor="text1"/>
                <w:sz w:val="20"/>
                <w:szCs w:val="20"/>
              </w:rPr>
              <w:t xml:space="preserve">No consensus to add further clarification to </w:t>
            </w:r>
            <w:proofErr w:type="spellStart"/>
            <w:r w:rsidRPr="003C7F18">
              <w:rPr>
                <w:bCs/>
                <w:i/>
                <w:color w:val="000000" w:themeColor="text1"/>
                <w:sz w:val="20"/>
                <w:szCs w:val="20"/>
              </w:rPr>
              <w:t>eDRX</w:t>
            </w:r>
            <w:proofErr w:type="spellEnd"/>
            <w:r w:rsidRPr="003C7F18">
              <w:rPr>
                <w:bCs/>
                <w:i/>
                <w:color w:val="000000" w:themeColor="text1"/>
                <w:sz w:val="20"/>
                <w:szCs w:val="20"/>
              </w:rPr>
              <w:t>-RAN.</w:t>
            </w:r>
          </w:p>
          <w:p w14:paraId="072411B6" w14:textId="77777777" w:rsidR="003C7F18" w:rsidRDefault="003C7F18" w:rsidP="003C7F18">
            <w:pPr>
              <w:spacing w:before="0" w:beforeAutospacing="0" w:after="0"/>
              <w:rPr>
                <w:color w:val="000000" w:themeColor="text1"/>
                <w:sz w:val="20"/>
                <w:szCs w:val="20"/>
                <w:highlight w:val="yellow"/>
                <w:u w:val="single"/>
                <w:lang w:eastAsia="ko-KR"/>
              </w:rPr>
            </w:pPr>
          </w:p>
          <w:p w14:paraId="4858E930" w14:textId="0BDF0DE0" w:rsidR="003C7F18" w:rsidRPr="003C7F18" w:rsidRDefault="003C7F18" w:rsidP="003C7F18">
            <w:pPr>
              <w:spacing w:before="0" w:beforeAutospacing="0" w:after="0"/>
              <w:rPr>
                <w:color w:val="000000" w:themeColor="text1"/>
                <w:sz w:val="20"/>
                <w:szCs w:val="20"/>
                <w:u w:val="single"/>
                <w:lang w:eastAsia="ko-KR"/>
              </w:rPr>
            </w:pPr>
            <w:r w:rsidRPr="003C7F18">
              <w:rPr>
                <w:color w:val="000000" w:themeColor="text1"/>
                <w:sz w:val="20"/>
                <w:szCs w:val="20"/>
                <w:highlight w:val="yellow"/>
                <w:u w:val="single"/>
                <w:lang w:eastAsia="ko-KR"/>
              </w:rPr>
              <w:t>Requirements for HO to a BWP which has different SSB with the one used for measurement</w:t>
            </w:r>
          </w:p>
          <w:p w14:paraId="15F6BBBE" w14:textId="77777777" w:rsidR="003C7F18" w:rsidRPr="003C7F18" w:rsidRDefault="003C7F18" w:rsidP="003C7F18">
            <w:pPr>
              <w:pStyle w:val="ListParagraph"/>
              <w:widowControl/>
              <w:numPr>
                <w:ilvl w:val="1"/>
                <w:numId w:val="16"/>
              </w:numPr>
              <w:overflowPunct/>
              <w:autoSpaceDE/>
              <w:autoSpaceDN/>
              <w:adjustRightInd/>
              <w:spacing w:before="0" w:beforeAutospacing="0" w:after="0" w:line="240" w:lineRule="auto"/>
              <w:ind w:left="1440" w:firstLineChars="0"/>
              <w:textAlignment w:val="auto"/>
              <w:rPr>
                <w:color w:val="000000" w:themeColor="text1"/>
                <w:sz w:val="20"/>
                <w:szCs w:val="20"/>
                <w:lang w:val="en-US" w:eastAsia="zh-CN"/>
              </w:rPr>
            </w:pPr>
            <w:r w:rsidRPr="003C7F18">
              <w:rPr>
                <w:color w:val="000000" w:themeColor="text1"/>
                <w:sz w:val="20"/>
                <w:szCs w:val="20"/>
                <w:lang w:val="en-US" w:eastAsia="zh-CN"/>
              </w:rPr>
              <w:t xml:space="preserve">Option 1 (Ericsson, HW, Nokia, Apple, Intel, CMCC, OPPO, Xiaomi, HW): No additional delay is needed when UE handover to a BWP which has different SSB type with the one used for measurement.  </w:t>
            </w:r>
          </w:p>
          <w:p w14:paraId="358D31AE" w14:textId="77777777" w:rsidR="003C7F18" w:rsidRPr="003C7F18" w:rsidRDefault="003C7F18" w:rsidP="003C7F18">
            <w:pPr>
              <w:pStyle w:val="ListParagraph"/>
              <w:widowControl/>
              <w:numPr>
                <w:ilvl w:val="1"/>
                <w:numId w:val="16"/>
              </w:numPr>
              <w:overflowPunct/>
              <w:autoSpaceDE/>
              <w:autoSpaceDN/>
              <w:adjustRightInd/>
              <w:spacing w:before="0" w:beforeAutospacing="0" w:after="0" w:line="240" w:lineRule="auto"/>
              <w:ind w:left="1440" w:firstLineChars="0"/>
              <w:textAlignment w:val="auto"/>
              <w:rPr>
                <w:color w:val="000000" w:themeColor="text1"/>
                <w:sz w:val="20"/>
                <w:szCs w:val="20"/>
                <w:lang w:val="en-US" w:eastAsia="zh-CN"/>
              </w:rPr>
            </w:pPr>
            <w:r w:rsidRPr="003C7F18">
              <w:rPr>
                <w:color w:val="000000" w:themeColor="text1"/>
                <w:sz w:val="20"/>
                <w:szCs w:val="20"/>
                <w:lang w:val="en-US" w:eastAsia="zh-CN"/>
              </w:rPr>
              <w:t>Option 2 (QC, MTK): The scenario when handover is performed to a BWP which has different SSB than the one used during measurement should be considered as handover to an unknown cell. Capture the above condition as a note in the Handover related section in TS38.133</w:t>
            </w:r>
          </w:p>
          <w:p w14:paraId="04B7A8E5" w14:textId="77777777" w:rsidR="003C7F18" w:rsidRPr="003C7F18" w:rsidRDefault="003C7F18" w:rsidP="003C7F18">
            <w:pPr>
              <w:pStyle w:val="ListParagraph"/>
              <w:widowControl/>
              <w:numPr>
                <w:ilvl w:val="1"/>
                <w:numId w:val="16"/>
              </w:numPr>
              <w:overflowPunct/>
              <w:autoSpaceDE/>
              <w:autoSpaceDN/>
              <w:adjustRightInd/>
              <w:spacing w:before="0" w:beforeAutospacing="0" w:after="0" w:line="240" w:lineRule="auto"/>
              <w:ind w:left="1440" w:firstLineChars="0"/>
              <w:textAlignment w:val="auto"/>
              <w:rPr>
                <w:color w:val="000000" w:themeColor="text1"/>
                <w:sz w:val="20"/>
                <w:szCs w:val="20"/>
                <w:lang w:val="en-US" w:eastAsia="zh-CN"/>
              </w:rPr>
            </w:pPr>
            <w:r w:rsidRPr="003C7F18">
              <w:rPr>
                <w:color w:val="000000" w:themeColor="text1"/>
                <w:sz w:val="20"/>
                <w:szCs w:val="20"/>
                <w:lang w:val="en-US" w:eastAsia="zh-CN"/>
              </w:rPr>
              <w:t>Option 2a (QC</w:t>
            </w:r>
            <w:r w:rsidRPr="003C7F18">
              <w:rPr>
                <w:color w:val="000000" w:themeColor="text1"/>
                <w:sz w:val="20"/>
                <w:szCs w:val="20"/>
              </w:rPr>
              <w:t xml:space="preserve">): </w:t>
            </w:r>
            <w:r w:rsidRPr="003C7F18">
              <w:rPr>
                <w:sz w:val="20"/>
                <w:szCs w:val="20"/>
              </w:rPr>
              <w:t xml:space="preserve">When handover is performed to a known cell where the SSB associated with the first active BWP is different from the SSB used during intra-frequency or inter-frequency measurements of the target cell, then </w:t>
            </w:r>
            <w:proofErr w:type="spellStart"/>
            <w:r w:rsidRPr="003C7F18">
              <w:rPr>
                <w:sz w:val="20"/>
                <w:szCs w:val="20"/>
              </w:rPr>
              <w:t>T</w:t>
            </w:r>
            <w:r w:rsidRPr="003C7F18">
              <w:rPr>
                <w:sz w:val="20"/>
                <w:szCs w:val="20"/>
                <w:vertAlign w:val="subscript"/>
              </w:rPr>
              <w:t>search</w:t>
            </w:r>
            <w:proofErr w:type="spellEnd"/>
            <w:r w:rsidRPr="003C7F18">
              <w:rPr>
                <w:sz w:val="20"/>
                <w:szCs w:val="20"/>
              </w:rPr>
              <w:t xml:space="preserve"> = </w:t>
            </w:r>
            <w:proofErr w:type="spellStart"/>
            <w:proofErr w:type="gramStart"/>
            <w:r w:rsidRPr="003C7F18">
              <w:rPr>
                <w:sz w:val="20"/>
                <w:szCs w:val="20"/>
              </w:rPr>
              <w:t>T</w:t>
            </w:r>
            <w:r w:rsidRPr="003C7F18">
              <w:rPr>
                <w:sz w:val="20"/>
                <w:szCs w:val="20"/>
                <w:vertAlign w:val="subscript"/>
              </w:rPr>
              <w:t>rs</w:t>
            </w:r>
            <w:proofErr w:type="spellEnd"/>
            <w:r w:rsidRPr="003C7F18" w:rsidDel="000446A6">
              <w:rPr>
                <w:sz w:val="20"/>
                <w:szCs w:val="20"/>
              </w:rPr>
              <w:t xml:space="preserve"> </w:t>
            </w:r>
            <w:r w:rsidRPr="003C7F18">
              <w:rPr>
                <w:sz w:val="20"/>
                <w:szCs w:val="20"/>
              </w:rPr>
              <w:t xml:space="preserve"> </w:t>
            </w:r>
            <w:proofErr w:type="spellStart"/>
            <w:r w:rsidRPr="003C7F18">
              <w:rPr>
                <w:sz w:val="20"/>
                <w:szCs w:val="20"/>
              </w:rPr>
              <w:t>ms</w:t>
            </w:r>
            <w:proofErr w:type="spellEnd"/>
            <w:proofErr w:type="gramEnd"/>
            <w:r w:rsidRPr="003C7F18">
              <w:rPr>
                <w:sz w:val="20"/>
                <w:szCs w:val="20"/>
              </w:rPr>
              <w:t xml:space="preserve"> if the target cell is intra-frequency cell and </w:t>
            </w:r>
            <w:proofErr w:type="spellStart"/>
            <w:r w:rsidRPr="003C7F18">
              <w:rPr>
                <w:sz w:val="20"/>
                <w:szCs w:val="20"/>
              </w:rPr>
              <w:t>T</w:t>
            </w:r>
            <w:r w:rsidRPr="003C7F18">
              <w:rPr>
                <w:sz w:val="20"/>
                <w:szCs w:val="20"/>
                <w:vertAlign w:val="subscript"/>
              </w:rPr>
              <w:t>search</w:t>
            </w:r>
            <w:proofErr w:type="spellEnd"/>
            <w:r w:rsidRPr="003C7F18">
              <w:rPr>
                <w:sz w:val="20"/>
                <w:szCs w:val="20"/>
              </w:rPr>
              <w:t xml:space="preserve"> = 2* </w:t>
            </w:r>
            <w:proofErr w:type="spellStart"/>
            <w:r w:rsidRPr="003C7F18">
              <w:rPr>
                <w:sz w:val="20"/>
                <w:szCs w:val="20"/>
              </w:rPr>
              <w:t>T</w:t>
            </w:r>
            <w:r w:rsidRPr="003C7F18">
              <w:rPr>
                <w:sz w:val="20"/>
                <w:szCs w:val="20"/>
                <w:vertAlign w:val="subscript"/>
              </w:rPr>
              <w:t>rs</w:t>
            </w:r>
            <w:proofErr w:type="spellEnd"/>
            <w:r w:rsidRPr="003C7F18">
              <w:rPr>
                <w:sz w:val="20"/>
                <w:szCs w:val="20"/>
              </w:rPr>
              <w:t xml:space="preserve">  </w:t>
            </w:r>
            <w:proofErr w:type="spellStart"/>
            <w:r w:rsidRPr="003C7F18">
              <w:rPr>
                <w:sz w:val="20"/>
                <w:szCs w:val="20"/>
              </w:rPr>
              <w:t>ms</w:t>
            </w:r>
            <w:proofErr w:type="spellEnd"/>
            <w:r w:rsidRPr="003C7F18">
              <w:rPr>
                <w:sz w:val="20"/>
                <w:szCs w:val="20"/>
              </w:rPr>
              <w:t xml:space="preserve"> if the target cell in inter-frequency cell.”</w:t>
            </w:r>
          </w:p>
          <w:p w14:paraId="14D71403" w14:textId="77777777" w:rsidR="003C7F18" w:rsidRPr="003C7F18" w:rsidRDefault="003C7F18" w:rsidP="003C7F18">
            <w:pPr>
              <w:pStyle w:val="ListParagraph"/>
              <w:widowControl/>
              <w:numPr>
                <w:ilvl w:val="1"/>
                <w:numId w:val="16"/>
              </w:numPr>
              <w:overflowPunct/>
              <w:autoSpaceDE/>
              <w:autoSpaceDN/>
              <w:adjustRightInd/>
              <w:spacing w:before="0" w:beforeAutospacing="0" w:after="0" w:line="240" w:lineRule="auto"/>
              <w:ind w:left="1440" w:firstLineChars="0"/>
              <w:textAlignment w:val="auto"/>
              <w:rPr>
                <w:color w:val="000000" w:themeColor="text1"/>
                <w:sz w:val="20"/>
                <w:szCs w:val="20"/>
                <w:lang w:val="en-US" w:eastAsia="zh-CN"/>
              </w:rPr>
            </w:pPr>
            <w:r w:rsidRPr="003C7F18">
              <w:rPr>
                <w:rFonts w:eastAsiaTheme="minorEastAsia"/>
                <w:color w:val="000000" w:themeColor="text1"/>
                <w:sz w:val="20"/>
                <w:szCs w:val="20"/>
                <w:lang w:val="en-US" w:eastAsia="zh-CN"/>
              </w:rPr>
              <w:t>Compromise (new) Option 3 (Ericsson, vivo, Apple): An additional delay is allowed if some conditions are met, such as the frequency difference between NCD-SSB and CD-SSB is larger than a threshold.</w:t>
            </w:r>
          </w:p>
          <w:p w14:paraId="786DC6CF" w14:textId="4FEA98D4" w:rsidR="003C7F18" w:rsidRPr="003C7F18" w:rsidRDefault="003C7F18" w:rsidP="003C7F18">
            <w:pPr>
              <w:spacing w:before="0" w:beforeAutospacing="0" w:after="0"/>
              <w:rPr>
                <w:color w:val="000000" w:themeColor="text1"/>
                <w:sz w:val="20"/>
                <w:szCs w:val="20"/>
              </w:rPr>
            </w:pPr>
            <w:r w:rsidRPr="003C7F18">
              <w:rPr>
                <w:color w:val="000000" w:themeColor="text1"/>
                <w:sz w:val="20"/>
                <w:szCs w:val="20"/>
              </w:rPr>
              <w:t>Option 4 (new) (Ericsson): Additional delay is allowed if the frequency difference between NCD-SSB and CD-SSB is larger than a threshold</w:t>
            </w:r>
            <w:r w:rsidRPr="003C7F18">
              <w:rPr>
                <w:color w:val="000000" w:themeColor="text1"/>
                <w:sz w:val="20"/>
                <w:szCs w:val="20"/>
                <w:lang w:eastAsia="ko-KR"/>
              </w:rPr>
              <w:t>.</w:t>
            </w:r>
          </w:p>
          <w:p w14:paraId="7ACFAFF1" w14:textId="77777777" w:rsidR="003C7F18" w:rsidRPr="003C7F18" w:rsidRDefault="003C7F18" w:rsidP="003C7F18">
            <w:pPr>
              <w:spacing w:before="0" w:beforeAutospacing="0" w:after="0"/>
              <w:rPr>
                <w:color w:val="000000" w:themeColor="text1"/>
                <w:sz w:val="20"/>
                <w:szCs w:val="20"/>
                <w:u w:val="single"/>
                <w:lang w:eastAsia="ko-KR"/>
              </w:rPr>
            </w:pPr>
            <w:r w:rsidRPr="003C7F18">
              <w:rPr>
                <w:color w:val="000000" w:themeColor="text1"/>
                <w:sz w:val="20"/>
                <w:szCs w:val="20"/>
                <w:highlight w:val="yellow"/>
                <w:u w:val="single"/>
                <w:lang w:eastAsia="ko-KR"/>
              </w:rPr>
              <w:t xml:space="preserve">RRC reestablishment delay with </w:t>
            </w:r>
            <w:proofErr w:type="spellStart"/>
            <w:r w:rsidRPr="003C7F18">
              <w:rPr>
                <w:color w:val="000000" w:themeColor="text1"/>
                <w:sz w:val="20"/>
                <w:szCs w:val="20"/>
                <w:highlight w:val="yellow"/>
                <w:u w:val="single"/>
                <w:lang w:eastAsia="ko-KR"/>
              </w:rPr>
              <w:t>RedCap</w:t>
            </w:r>
            <w:proofErr w:type="spellEnd"/>
            <w:r w:rsidRPr="003C7F18">
              <w:rPr>
                <w:color w:val="000000" w:themeColor="text1"/>
                <w:sz w:val="20"/>
                <w:szCs w:val="20"/>
                <w:highlight w:val="yellow"/>
                <w:u w:val="single"/>
                <w:lang w:eastAsia="ko-KR"/>
              </w:rPr>
              <w:t xml:space="preserve"> specific initial BWP</w:t>
            </w:r>
            <w:r w:rsidRPr="003C7F18">
              <w:rPr>
                <w:color w:val="000000" w:themeColor="text1"/>
                <w:sz w:val="20"/>
                <w:szCs w:val="20"/>
                <w:u w:val="single"/>
                <w:lang w:eastAsia="ko-KR"/>
              </w:rPr>
              <w:t xml:space="preserve"> </w:t>
            </w:r>
          </w:p>
          <w:p w14:paraId="0C9DA3DE" w14:textId="77777777" w:rsidR="003C7F18" w:rsidRPr="003C7F18" w:rsidRDefault="003C7F18" w:rsidP="003C7F18">
            <w:pPr>
              <w:spacing w:before="0" w:beforeAutospacing="0" w:after="0"/>
              <w:rPr>
                <w:color w:val="000000" w:themeColor="text1"/>
                <w:sz w:val="20"/>
                <w:szCs w:val="20"/>
                <w:lang w:eastAsia="ko-KR"/>
              </w:rPr>
            </w:pPr>
            <w:r w:rsidRPr="003C7F18">
              <w:rPr>
                <w:color w:val="000000" w:themeColor="text1"/>
                <w:sz w:val="20"/>
                <w:szCs w:val="20"/>
                <w:lang w:eastAsia="ko-KR"/>
              </w:rPr>
              <w:t xml:space="preserve">When the Redcap specific initial BWP is configured for RA, extend RRC connection release with re-direction delay by X </w:t>
            </w:r>
            <w:proofErr w:type="spellStart"/>
            <w:r w:rsidRPr="003C7F18">
              <w:rPr>
                <w:color w:val="000000" w:themeColor="text1"/>
                <w:sz w:val="20"/>
                <w:szCs w:val="20"/>
                <w:lang w:eastAsia="ko-KR"/>
              </w:rPr>
              <w:t>ms.</w:t>
            </w:r>
            <w:proofErr w:type="spellEnd"/>
          </w:p>
          <w:p w14:paraId="16A4441B" w14:textId="34D7292C" w:rsidR="003C7F18" w:rsidRPr="003C7F18" w:rsidRDefault="00000000" w:rsidP="003C7F18">
            <w:pPr>
              <w:pStyle w:val="EQ"/>
              <w:numPr>
                <w:ilvl w:val="0"/>
                <w:numId w:val="17"/>
              </w:numPr>
              <w:overflowPunct/>
              <w:autoSpaceDE/>
              <w:autoSpaceDN/>
              <w:adjustRightInd/>
              <w:spacing w:before="0" w:beforeAutospacing="0" w:after="0"/>
              <w:ind w:left="1080"/>
              <w:textAlignment w:val="auto"/>
              <w:rPr>
                <w:iCs/>
                <w:color w:val="000000" w:themeColor="text1"/>
                <w:sz w:val="20"/>
                <w:szCs w:val="20"/>
                <w:lang w:eastAsia="ko-KR"/>
              </w:rPr>
            </w:pPr>
            <m:oMath>
              <m:sSub>
                <m:sSubPr>
                  <m:ctrlPr>
                    <w:rPr>
                      <w:rFonts w:ascii="Cambria Math" w:hAnsi="Cambria Math"/>
                      <w:iCs/>
                      <w:color w:val="000000" w:themeColor="text1"/>
                      <w:sz w:val="20"/>
                      <w:szCs w:val="20"/>
                      <w:lang w:eastAsia="ko-KR"/>
                    </w:rPr>
                  </m:ctrlPr>
                </m:sSubPr>
                <m:e>
                  <m:r>
                    <m:rPr>
                      <m:sty m:val="p"/>
                    </m:rPr>
                    <w:rPr>
                      <w:rFonts w:ascii="Cambria Math" w:hAnsi="Cambria Math"/>
                      <w:color w:val="000000" w:themeColor="text1"/>
                      <w:sz w:val="20"/>
                      <w:szCs w:val="20"/>
                      <w:lang w:eastAsia="ko-KR"/>
                    </w:rPr>
                    <m:t>T</m:t>
                  </m:r>
                </m:e>
                <m:sub>
                  <m:r>
                    <m:rPr>
                      <m:sty m:val="p"/>
                    </m:rPr>
                    <w:rPr>
                      <w:rFonts w:ascii="Cambria Math" w:hAnsi="Cambria Math"/>
                      <w:color w:val="000000" w:themeColor="text1"/>
                      <w:sz w:val="20"/>
                      <w:szCs w:val="20"/>
                      <w:lang w:eastAsia="ko-KR"/>
                    </w:rPr>
                    <m:t>UE_re-establish_delay</m:t>
                  </m:r>
                </m:sub>
              </m:sSub>
              <m:r>
                <m:rPr>
                  <m:sty m:val="p"/>
                </m:rPr>
                <w:rPr>
                  <w:rFonts w:ascii="Cambria Math" w:hAnsi="Cambria Math"/>
                  <w:color w:val="000000" w:themeColor="text1"/>
                  <w:sz w:val="20"/>
                  <w:szCs w:val="20"/>
                  <w:lang w:eastAsia="ko-KR"/>
                </w:rPr>
                <m:t>=50 ms+</m:t>
              </m:r>
              <m:sSub>
                <m:sSubPr>
                  <m:ctrlPr>
                    <w:rPr>
                      <w:rFonts w:ascii="Cambria Math" w:hAnsi="Cambria Math"/>
                      <w:iCs/>
                      <w:color w:val="000000" w:themeColor="text1"/>
                      <w:sz w:val="20"/>
                      <w:szCs w:val="20"/>
                      <w:lang w:eastAsia="ko-KR"/>
                    </w:rPr>
                  </m:ctrlPr>
                </m:sSubPr>
                <m:e>
                  <m:r>
                    <m:rPr>
                      <m:sty m:val="p"/>
                    </m:rPr>
                    <w:rPr>
                      <w:rFonts w:ascii="Cambria Math" w:hAnsi="Cambria Math"/>
                      <w:color w:val="000000" w:themeColor="text1"/>
                      <w:sz w:val="20"/>
                      <w:szCs w:val="20"/>
                      <w:lang w:eastAsia="ko-KR"/>
                    </w:rPr>
                    <m:t>T</m:t>
                  </m:r>
                </m:e>
                <m:sub>
                  <m:r>
                    <m:rPr>
                      <m:sty m:val="p"/>
                    </m:rPr>
                    <w:rPr>
                      <w:rFonts w:ascii="Cambria Math" w:hAnsi="Cambria Math"/>
                      <w:color w:val="000000" w:themeColor="text1"/>
                      <w:sz w:val="20"/>
                      <w:szCs w:val="20"/>
                      <w:lang w:eastAsia="ko-KR"/>
                    </w:rPr>
                    <m:t>identify_intra_NR</m:t>
                  </m:r>
                </m:sub>
              </m:sSub>
              <m:r>
                <m:rPr>
                  <m:sty m:val="p"/>
                </m:rPr>
                <w:rPr>
                  <w:rFonts w:ascii="Cambria Math" w:hAnsi="Cambria Math"/>
                  <w:color w:val="000000" w:themeColor="text1"/>
                  <w:sz w:val="20"/>
                  <w:szCs w:val="20"/>
                  <w:lang w:eastAsia="ko-KR"/>
                </w:rPr>
                <m:t>+</m:t>
              </m:r>
              <m:nary>
                <m:naryPr>
                  <m:chr m:val="∑"/>
                  <m:limLoc m:val="subSup"/>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i=1</m:t>
                  </m:r>
                </m:sub>
                <m:sup>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N</m:t>
                      </m:r>
                    </m:e>
                    <m:sub>
                      <m:r>
                        <m:rPr>
                          <m:sty m:val="p"/>
                        </m:rPr>
                        <w:rPr>
                          <w:rFonts w:ascii="Cambria Math" w:hAnsi="Cambria Math"/>
                          <w:color w:val="000000" w:themeColor="text1"/>
                          <w:sz w:val="20"/>
                          <w:szCs w:val="20"/>
                        </w:rPr>
                        <m:t>freq</m:t>
                      </m:r>
                    </m:sub>
                  </m:sSub>
                  <m:r>
                    <m:rPr>
                      <m:sty m:val="p"/>
                    </m:rPr>
                    <w:rPr>
                      <w:rFonts w:ascii="Cambria Math" w:hAnsi="Cambria Math"/>
                      <w:color w:val="000000" w:themeColor="text1"/>
                      <w:sz w:val="20"/>
                      <w:szCs w:val="20"/>
                    </w:rPr>
                    <m:t>-1</m:t>
                  </m:r>
                </m:sup>
                <m:e>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T</m:t>
                      </m:r>
                    </m:e>
                    <m:sub>
                      <m:r>
                        <m:rPr>
                          <m:sty m:val="p"/>
                        </m:rPr>
                        <w:rPr>
                          <w:rFonts w:ascii="Cambria Math" w:hAnsi="Cambria Math"/>
                          <w:color w:val="000000" w:themeColor="text1"/>
                          <w:sz w:val="20"/>
                          <w:szCs w:val="20"/>
                        </w:rPr>
                        <m:t>identify_inter_NR,i</m:t>
                      </m:r>
                    </m:sub>
                  </m:sSub>
                </m:e>
              </m:nary>
              <m:r>
                <m:rPr>
                  <m:sty m:val="p"/>
                </m:rPr>
                <w:rPr>
                  <w:rFonts w:ascii="Cambria Math" w:hAnsi="Cambria Math"/>
                  <w:color w:val="000000" w:themeColor="text1"/>
                  <w:sz w:val="20"/>
                  <w:szCs w:val="20"/>
                  <w:vertAlign w:val="subscript"/>
                </w:rPr>
                <m:t>+</m:t>
              </m:r>
              <m:sSub>
                <m:sSubPr>
                  <m:ctrlPr>
                    <w:rPr>
                      <w:rFonts w:ascii="Cambria Math" w:hAnsi="Cambria Math"/>
                      <w:iCs/>
                      <w:color w:val="000000" w:themeColor="text1"/>
                      <w:sz w:val="20"/>
                      <w:szCs w:val="20"/>
                      <w:vertAlign w:val="subscript"/>
                    </w:rPr>
                  </m:ctrlPr>
                </m:sSubPr>
                <m:e>
                  <m:r>
                    <m:rPr>
                      <m:sty m:val="p"/>
                    </m:rPr>
                    <w:rPr>
                      <w:rFonts w:ascii="Cambria Math" w:hAnsi="Cambria Math"/>
                      <w:color w:val="000000" w:themeColor="text1"/>
                      <w:sz w:val="20"/>
                      <w:szCs w:val="20"/>
                      <w:vertAlign w:val="subscript"/>
                    </w:rPr>
                    <m:t>T</m:t>
                  </m:r>
                </m:e>
                <m:sub>
                  <m:r>
                    <m:rPr>
                      <m:sty m:val="p"/>
                    </m:rPr>
                    <w:rPr>
                      <w:rFonts w:ascii="Cambria Math" w:hAnsi="Cambria Math"/>
                      <w:color w:val="000000" w:themeColor="text1"/>
                      <w:sz w:val="20"/>
                      <w:szCs w:val="20"/>
                      <w:vertAlign w:val="subscript"/>
                    </w:rPr>
                    <m:t>SI-NR</m:t>
                  </m:r>
                </m:sub>
              </m:sSub>
              <m:r>
                <m:rPr>
                  <m:sty m:val="p"/>
                </m:rPr>
                <w:rPr>
                  <w:rFonts w:ascii="Cambria Math" w:hAnsi="Cambria Math"/>
                  <w:color w:val="000000" w:themeColor="text1"/>
                  <w:sz w:val="20"/>
                  <w:szCs w:val="20"/>
                  <w:vertAlign w:val="subscript"/>
                </w:rPr>
                <m:t>+</m:t>
              </m:r>
              <m:sSub>
                <m:sSubPr>
                  <m:ctrlPr>
                    <w:rPr>
                      <w:rFonts w:ascii="Cambria Math" w:hAnsi="Cambria Math"/>
                      <w:iCs/>
                      <w:color w:val="000000" w:themeColor="text1"/>
                      <w:sz w:val="20"/>
                      <w:szCs w:val="20"/>
                      <w:vertAlign w:val="subscript"/>
                    </w:rPr>
                  </m:ctrlPr>
                </m:sSubPr>
                <m:e>
                  <m:r>
                    <m:rPr>
                      <m:sty m:val="p"/>
                    </m:rPr>
                    <w:rPr>
                      <w:rFonts w:ascii="Cambria Math" w:hAnsi="Cambria Math"/>
                      <w:color w:val="000000" w:themeColor="text1"/>
                      <w:sz w:val="20"/>
                      <w:szCs w:val="20"/>
                      <w:vertAlign w:val="subscript"/>
                    </w:rPr>
                    <m:t>T</m:t>
                  </m:r>
                </m:e>
                <m:sub>
                  <m:r>
                    <m:rPr>
                      <m:sty m:val="p"/>
                    </m:rPr>
                    <w:rPr>
                      <w:rFonts w:ascii="Cambria Math" w:hAnsi="Cambria Math"/>
                      <w:color w:val="000000" w:themeColor="text1"/>
                      <w:sz w:val="20"/>
                      <w:szCs w:val="20"/>
                      <w:vertAlign w:val="subscript"/>
                    </w:rPr>
                    <m:t>PRACH</m:t>
                  </m:r>
                </m:sub>
              </m:sSub>
              <m:r>
                <m:rPr>
                  <m:sty m:val="p"/>
                </m:rPr>
                <w:rPr>
                  <w:rFonts w:ascii="Cambria Math" w:hAnsi="Cambria Math"/>
                  <w:color w:val="000000" w:themeColor="text1"/>
                  <w:sz w:val="20"/>
                  <w:szCs w:val="20"/>
                  <w:vertAlign w:val="subscript"/>
                </w:rPr>
                <m:t>+X</m:t>
              </m:r>
            </m:oMath>
          </w:p>
          <w:p w14:paraId="396BFE63" w14:textId="626821EE" w:rsidR="003C7F18" w:rsidRPr="003C7F18" w:rsidRDefault="003C7F18" w:rsidP="003C7F18">
            <w:pPr>
              <w:pStyle w:val="ListParagraph"/>
              <w:widowControl/>
              <w:numPr>
                <w:ilvl w:val="0"/>
                <w:numId w:val="17"/>
              </w:numPr>
              <w:overflowPunct/>
              <w:autoSpaceDE/>
              <w:autoSpaceDN/>
              <w:adjustRightInd/>
              <w:spacing w:before="0" w:beforeAutospacing="0" w:after="0" w:line="240" w:lineRule="auto"/>
              <w:ind w:left="1080" w:firstLineChars="0"/>
              <w:contextualSpacing/>
              <w:textAlignment w:val="auto"/>
              <w:rPr>
                <w:color w:val="000000" w:themeColor="text1"/>
                <w:sz w:val="20"/>
                <w:szCs w:val="20"/>
                <w:lang w:eastAsia="ko-KR"/>
              </w:rPr>
            </w:pPr>
            <w:r w:rsidRPr="003C7F18">
              <w:rPr>
                <w:color w:val="000000" w:themeColor="text1"/>
                <w:sz w:val="20"/>
                <w:szCs w:val="20"/>
                <w:lang w:eastAsia="ko-KR"/>
              </w:rPr>
              <w:t>X = TBD</w:t>
            </w:r>
          </w:p>
          <w:p w14:paraId="5F403724" w14:textId="77777777" w:rsidR="003C7F18" w:rsidRPr="003C7F18" w:rsidRDefault="003C7F18" w:rsidP="003C7F18">
            <w:pPr>
              <w:spacing w:before="0" w:beforeAutospacing="0" w:after="0"/>
              <w:rPr>
                <w:color w:val="000000" w:themeColor="text1"/>
                <w:sz w:val="20"/>
                <w:szCs w:val="20"/>
                <w:u w:val="single"/>
                <w:lang w:eastAsia="ko-KR"/>
              </w:rPr>
            </w:pPr>
            <w:r w:rsidRPr="003C7F18">
              <w:rPr>
                <w:color w:val="000000" w:themeColor="text1"/>
                <w:sz w:val="20"/>
                <w:szCs w:val="20"/>
                <w:highlight w:val="yellow"/>
                <w:u w:val="single"/>
                <w:lang w:eastAsia="ko-KR"/>
              </w:rPr>
              <w:t xml:space="preserve">RRC connection release with redirection delay with </w:t>
            </w:r>
            <w:proofErr w:type="spellStart"/>
            <w:r w:rsidRPr="003C7F18">
              <w:rPr>
                <w:color w:val="000000" w:themeColor="text1"/>
                <w:sz w:val="20"/>
                <w:szCs w:val="20"/>
                <w:highlight w:val="yellow"/>
                <w:u w:val="single"/>
                <w:lang w:eastAsia="ko-KR"/>
              </w:rPr>
              <w:t>RedCap</w:t>
            </w:r>
            <w:proofErr w:type="spellEnd"/>
            <w:r w:rsidRPr="003C7F18">
              <w:rPr>
                <w:color w:val="000000" w:themeColor="text1"/>
                <w:sz w:val="20"/>
                <w:szCs w:val="20"/>
                <w:highlight w:val="yellow"/>
                <w:u w:val="single"/>
                <w:lang w:eastAsia="ko-KR"/>
              </w:rPr>
              <w:t xml:space="preserve"> specific initial BWP</w:t>
            </w:r>
            <w:r w:rsidRPr="003C7F18">
              <w:rPr>
                <w:color w:val="000000" w:themeColor="text1"/>
                <w:sz w:val="20"/>
                <w:szCs w:val="20"/>
                <w:u w:val="single"/>
                <w:lang w:eastAsia="ko-KR"/>
              </w:rPr>
              <w:t xml:space="preserve"> </w:t>
            </w:r>
          </w:p>
          <w:p w14:paraId="3D904382" w14:textId="77777777" w:rsidR="003C7F18" w:rsidRPr="003C7F18" w:rsidRDefault="003C7F18" w:rsidP="003C7F18">
            <w:pPr>
              <w:spacing w:before="0" w:beforeAutospacing="0" w:after="0"/>
              <w:rPr>
                <w:color w:val="000000" w:themeColor="text1"/>
                <w:sz w:val="20"/>
                <w:szCs w:val="20"/>
                <w:lang w:eastAsia="ko-KR"/>
              </w:rPr>
            </w:pPr>
            <w:r w:rsidRPr="003C7F18">
              <w:rPr>
                <w:color w:val="000000" w:themeColor="text1"/>
                <w:sz w:val="20"/>
                <w:szCs w:val="20"/>
                <w:lang w:eastAsia="ko-KR"/>
              </w:rPr>
              <w:t xml:space="preserve">When the Redcap specific initial BWP is configured for RA, extend RRC connection release with re-direction delay by X </w:t>
            </w:r>
            <w:proofErr w:type="spellStart"/>
            <w:r w:rsidRPr="003C7F18">
              <w:rPr>
                <w:color w:val="000000" w:themeColor="text1"/>
                <w:sz w:val="20"/>
                <w:szCs w:val="20"/>
                <w:lang w:eastAsia="ko-KR"/>
              </w:rPr>
              <w:t>ms.</w:t>
            </w:r>
            <w:proofErr w:type="spellEnd"/>
          </w:p>
          <w:p w14:paraId="627AAD7D" w14:textId="77777777" w:rsidR="003C7F18" w:rsidRPr="003C7F18" w:rsidRDefault="003C7F18" w:rsidP="003C7F18">
            <w:pPr>
              <w:pStyle w:val="ListParagraph"/>
              <w:widowControl/>
              <w:numPr>
                <w:ilvl w:val="0"/>
                <w:numId w:val="17"/>
              </w:numPr>
              <w:overflowPunct/>
              <w:autoSpaceDE/>
              <w:autoSpaceDN/>
              <w:adjustRightInd/>
              <w:spacing w:before="0" w:beforeAutospacing="0" w:after="0" w:line="240" w:lineRule="auto"/>
              <w:ind w:left="1080" w:firstLineChars="0"/>
              <w:contextualSpacing/>
              <w:textAlignment w:val="auto"/>
              <w:rPr>
                <w:color w:val="000000" w:themeColor="text1"/>
                <w:sz w:val="20"/>
                <w:szCs w:val="20"/>
                <w:lang w:eastAsia="ko-KR"/>
              </w:rPr>
            </w:pPr>
            <w:proofErr w:type="spellStart"/>
            <w:r w:rsidRPr="003C7F18">
              <w:rPr>
                <w:color w:val="000000" w:themeColor="text1"/>
                <w:sz w:val="20"/>
                <w:szCs w:val="20"/>
                <w:lang w:eastAsia="ko-KR"/>
              </w:rPr>
              <w:t>T</w:t>
            </w:r>
            <w:r w:rsidRPr="003C7F18">
              <w:rPr>
                <w:color w:val="000000" w:themeColor="text1"/>
                <w:sz w:val="20"/>
                <w:szCs w:val="20"/>
                <w:vertAlign w:val="subscript"/>
                <w:lang w:eastAsia="ko-KR"/>
              </w:rPr>
              <w:t>connection_release_redirect_NR</w:t>
            </w:r>
            <w:proofErr w:type="spellEnd"/>
            <w:r w:rsidRPr="003C7F18">
              <w:rPr>
                <w:color w:val="000000" w:themeColor="text1"/>
                <w:sz w:val="20"/>
                <w:szCs w:val="20"/>
                <w:lang w:eastAsia="ko-KR"/>
              </w:rPr>
              <w:t xml:space="preserve"> = </w:t>
            </w:r>
            <w:proofErr w:type="spellStart"/>
            <w:r w:rsidRPr="003C7F18">
              <w:rPr>
                <w:color w:val="000000" w:themeColor="text1"/>
                <w:sz w:val="20"/>
                <w:szCs w:val="20"/>
                <w:lang w:eastAsia="ko-KR"/>
              </w:rPr>
              <w:t>T</w:t>
            </w:r>
            <w:r w:rsidRPr="003C7F18">
              <w:rPr>
                <w:color w:val="000000" w:themeColor="text1"/>
                <w:sz w:val="20"/>
                <w:szCs w:val="20"/>
                <w:vertAlign w:val="subscript"/>
                <w:lang w:eastAsia="ko-KR"/>
              </w:rPr>
              <w:t>RRC_procedure_delay</w:t>
            </w:r>
            <w:proofErr w:type="spellEnd"/>
            <w:r w:rsidRPr="003C7F18">
              <w:rPr>
                <w:color w:val="000000" w:themeColor="text1"/>
                <w:sz w:val="20"/>
                <w:szCs w:val="20"/>
                <w:lang w:eastAsia="ko-KR"/>
              </w:rPr>
              <w:t xml:space="preserve"> + </w:t>
            </w:r>
            <w:proofErr w:type="spellStart"/>
            <w:r w:rsidRPr="003C7F18">
              <w:rPr>
                <w:color w:val="000000" w:themeColor="text1"/>
                <w:sz w:val="20"/>
                <w:szCs w:val="20"/>
                <w:lang w:eastAsia="ko-KR"/>
              </w:rPr>
              <w:t>T</w:t>
            </w:r>
            <w:r w:rsidRPr="003C7F18">
              <w:rPr>
                <w:color w:val="000000" w:themeColor="text1"/>
                <w:sz w:val="20"/>
                <w:szCs w:val="20"/>
                <w:vertAlign w:val="subscript"/>
                <w:lang w:eastAsia="ko-KR"/>
              </w:rPr>
              <w:t>identify</w:t>
            </w:r>
            <w:proofErr w:type="spellEnd"/>
            <w:r w:rsidRPr="003C7F18">
              <w:rPr>
                <w:color w:val="000000" w:themeColor="text1"/>
                <w:sz w:val="20"/>
                <w:szCs w:val="20"/>
                <w:vertAlign w:val="subscript"/>
                <w:lang w:eastAsia="ko-KR"/>
              </w:rPr>
              <w:t>-NR</w:t>
            </w:r>
            <w:r w:rsidRPr="003C7F18">
              <w:rPr>
                <w:color w:val="000000" w:themeColor="text1"/>
                <w:sz w:val="20"/>
                <w:szCs w:val="20"/>
                <w:lang w:eastAsia="ko-KR"/>
              </w:rPr>
              <w:t xml:space="preserve"> + T</w:t>
            </w:r>
            <w:r w:rsidRPr="003C7F18">
              <w:rPr>
                <w:color w:val="000000" w:themeColor="text1"/>
                <w:sz w:val="20"/>
                <w:szCs w:val="20"/>
                <w:vertAlign w:val="subscript"/>
                <w:lang w:eastAsia="ko-KR"/>
              </w:rPr>
              <w:t>SI-NR</w:t>
            </w:r>
            <w:r w:rsidRPr="003C7F18">
              <w:rPr>
                <w:color w:val="000000" w:themeColor="text1"/>
                <w:sz w:val="20"/>
                <w:szCs w:val="20"/>
                <w:lang w:eastAsia="ko-KR"/>
              </w:rPr>
              <w:t xml:space="preserve"> + T</w:t>
            </w:r>
            <w:r w:rsidRPr="003C7F18">
              <w:rPr>
                <w:color w:val="000000" w:themeColor="text1"/>
                <w:sz w:val="20"/>
                <w:szCs w:val="20"/>
                <w:vertAlign w:val="subscript"/>
                <w:lang w:eastAsia="ko-KR"/>
              </w:rPr>
              <w:t>RACH</w:t>
            </w:r>
            <w:r w:rsidRPr="003C7F18">
              <w:rPr>
                <w:color w:val="000000" w:themeColor="text1"/>
                <w:sz w:val="20"/>
                <w:szCs w:val="20"/>
                <w:lang w:eastAsia="ko-KR"/>
              </w:rPr>
              <w:t xml:space="preserve"> + X</w:t>
            </w:r>
          </w:p>
          <w:p w14:paraId="175E7765" w14:textId="77777777" w:rsidR="003C7F18" w:rsidRPr="003C7F18" w:rsidRDefault="003C7F18" w:rsidP="003C7F18">
            <w:pPr>
              <w:pStyle w:val="ListParagraph"/>
              <w:widowControl/>
              <w:numPr>
                <w:ilvl w:val="0"/>
                <w:numId w:val="17"/>
              </w:numPr>
              <w:overflowPunct/>
              <w:autoSpaceDE/>
              <w:autoSpaceDN/>
              <w:adjustRightInd/>
              <w:spacing w:before="0" w:beforeAutospacing="0" w:after="0" w:line="240" w:lineRule="auto"/>
              <w:ind w:left="1080" w:firstLineChars="0"/>
              <w:contextualSpacing/>
              <w:textAlignment w:val="auto"/>
              <w:rPr>
                <w:color w:val="000000" w:themeColor="text1"/>
                <w:sz w:val="20"/>
                <w:szCs w:val="20"/>
                <w:lang w:eastAsia="ko-KR"/>
              </w:rPr>
            </w:pPr>
            <w:r w:rsidRPr="003C7F18">
              <w:rPr>
                <w:color w:val="000000" w:themeColor="text1"/>
                <w:sz w:val="20"/>
                <w:szCs w:val="20"/>
                <w:lang w:eastAsia="ko-KR"/>
              </w:rPr>
              <w:t>X = TBD</w:t>
            </w:r>
          </w:p>
          <w:p w14:paraId="44CDC694" w14:textId="77777777" w:rsidR="003C7F18" w:rsidRPr="003C7F18" w:rsidRDefault="003C7F18" w:rsidP="003C7F18">
            <w:pPr>
              <w:spacing w:after="0"/>
              <w:rPr>
                <w:bCs/>
                <w:color w:val="000000" w:themeColor="text1"/>
                <w:sz w:val="20"/>
                <w:szCs w:val="20"/>
                <w:u w:val="single"/>
                <w:lang w:eastAsia="ko-KR"/>
              </w:rPr>
            </w:pPr>
            <w:r w:rsidRPr="003C7F18">
              <w:rPr>
                <w:bCs/>
                <w:color w:val="000000" w:themeColor="text1"/>
                <w:sz w:val="20"/>
                <w:szCs w:val="20"/>
                <w:highlight w:val="yellow"/>
                <w:u w:val="single"/>
                <w:lang w:eastAsia="ko-KR"/>
              </w:rPr>
              <w:t>Serving cell threshold associated SSB</w:t>
            </w:r>
          </w:p>
          <w:p w14:paraId="23AB84AB" w14:textId="3AC3EC6C" w:rsidR="00BA1CC1" w:rsidRPr="003C7F18" w:rsidRDefault="003C7F18" w:rsidP="003C7F18">
            <w:pPr>
              <w:spacing w:after="0"/>
              <w:rPr>
                <w:i/>
                <w:iCs/>
                <w:color w:val="000000" w:themeColor="text1"/>
              </w:rPr>
            </w:pPr>
            <w:r w:rsidRPr="003C7F18">
              <w:rPr>
                <w:bCs/>
                <w:i/>
                <w:iCs/>
                <w:color w:val="000000" w:themeColor="text1"/>
                <w:sz w:val="20"/>
                <w:szCs w:val="20"/>
              </w:rPr>
              <w:t>No need to clarify in the spec that serving cell thresholds of s-</w:t>
            </w:r>
            <w:proofErr w:type="spellStart"/>
            <w:r w:rsidRPr="003C7F18">
              <w:rPr>
                <w:bCs/>
                <w:i/>
                <w:iCs/>
                <w:color w:val="000000" w:themeColor="text1"/>
                <w:sz w:val="20"/>
                <w:szCs w:val="20"/>
              </w:rPr>
              <w:t>MeasureConfig</w:t>
            </w:r>
            <w:proofErr w:type="spellEnd"/>
            <w:r w:rsidRPr="003C7F18">
              <w:rPr>
                <w:bCs/>
                <w:i/>
                <w:iCs/>
                <w:color w:val="000000" w:themeColor="text1"/>
                <w:sz w:val="20"/>
                <w:szCs w:val="20"/>
              </w:rPr>
              <w:t xml:space="preserve"> for Connected mode should be checked based on reference SSB measurement.</w:t>
            </w:r>
          </w:p>
        </w:tc>
      </w:tr>
    </w:tbl>
    <w:p w14:paraId="457FA5A6" w14:textId="1348465C" w:rsidR="00A74337" w:rsidRDefault="008F6ECB" w:rsidP="00DC740E">
      <w:pPr>
        <w:spacing w:after="120"/>
        <w:jc w:val="both"/>
      </w:pPr>
      <w:r>
        <w:t>In this contribution, we discuss the above remaining</w:t>
      </w:r>
      <w:r w:rsidR="009362C1">
        <w:t xml:space="preserve"> </w:t>
      </w:r>
      <w:r>
        <w:t>issues</w:t>
      </w:r>
      <w:r w:rsidR="00BA1CC1">
        <w:t xml:space="preserve"> and corresponding </w:t>
      </w:r>
      <w:r w:rsidR="003C7F18">
        <w:t>LS</w:t>
      </w:r>
      <w:r w:rsidR="00BA1CC1">
        <w:t xml:space="preserve"> [2] for s</w:t>
      </w:r>
      <w:r w:rsidR="00BA1CC1" w:rsidRPr="00BA1CC1">
        <w:t>erving cell threshold associated SSB</w:t>
      </w:r>
      <w:r w:rsidR="00BA1CC1">
        <w:t xml:space="preserve"> is proposed</w:t>
      </w:r>
      <w:r>
        <w:t>.</w:t>
      </w:r>
    </w:p>
    <w:p w14:paraId="4D029AA9" w14:textId="2924387F" w:rsidR="00A74337" w:rsidRPr="006E7539" w:rsidRDefault="008F6ECB" w:rsidP="00A74337">
      <w:pPr>
        <w:pStyle w:val="Heading1"/>
        <w:numPr>
          <w:ilvl w:val="0"/>
          <w:numId w:val="10"/>
        </w:numPr>
        <w:pBdr>
          <w:top w:val="single" w:sz="12" w:space="2" w:color="auto"/>
        </w:pBdr>
        <w:jc w:val="both"/>
        <w:rPr>
          <w:sz w:val="32"/>
        </w:rPr>
      </w:pPr>
      <w:r>
        <w:rPr>
          <w:sz w:val="32"/>
        </w:rPr>
        <w:lastRenderedPageBreak/>
        <w:t>Discussion</w:t>
      </w:r>
      <w:r w:rsidR="00294180">
        <w:rPr>
          <w:sz w:val="32"/>
        </w:rPr>
        <w:t xml:space="preserve"> on RAN4 </w:t>
      </w:r>
      <w:r w:rsidR="00AD17E1">
        <w:rPr>
          <w:sz w:val="32"/>
        </w:rPr>
        <w:t>remaining</w:t>
      </w:r>
      <w:r w:rsidR="00294180">
        <w:rPr>
          <w:sz w:val="32"/>
        </w:rPr>
        <w:t xml:space="preserve"> issues</w:t>
      </w:r>
    </w:p>
    <w:p w14:paraId="1CA03FD9" w14:textId="1295A5E8" w:rsidR="003C7F18" w:rsidRPr="003C7F18" w:rsidRDefault="00103627" w:rsidP="00103627">
      <w:pPr>
        <w:rPr>
          <w:b/>
          <w:color w:val="000000" w:themeColor="text1"/>
          <w:u w:val="single"/>
          <w:lang w:eastAsia="ko-KR"/>
        </w:rPr>
      </w:pPr>
      <w:r w:rsidRPr="00103627">
        <w:rPr>
          <w:b/>
          <w:color w:val="000000" w:themeColor="text1"/>
          <w:u w:val="single"/>
          <w:lang w:eastAsia="ko-KR"/>
        </w:rPr>
        <w:t>Clarification of SDT FR1 requirements</w:t>
      </w:r>
    </w:p>
    <w:p w14:paraId="0B96AC46" w14:textId="77777777" w:rsidR="00A22917" w:rsidRDefault="00A22917" w:rsidP="00A22917">
      <w:pPr>
        <w:tabs>
          <w:tab w:val="left" w:pos="990"/>
        </w:tabs>
        <w:spacing w:after="120"/>
        <w:jc w:val="both"/>
      </w:pPr>
      <w:r w:rsidRPr="00A22917">
        <w:t>The existing TA validation for CG-SDT in Inactive mode has been specified as</w:t>
      </w:r>
      <w:r>
        <w:t>,</w:t>
      </w:r>
    </w:p>
    <w:tbl>
      <w:tblPr>
        <w:tblStyle w:val="TableGrid"/>
        <w:tblW w:w="0" w:type="auto"/>
        <w:tblLook w:val="04A0" w:firstRow="1" w:lastRow="0" w:firstColumn="1" w:lastColumn="0" w:noHBand="0" w:noVBand="1"/>
      </w:tblPr>
      <w:tblGrid>
        <w:gridCol w:w="9629"/>
      </w:tblGrid>
      <w:tr w:rsidR="00527772" w14:paraId="551B82B5" w14:textId="77777777" w:rsidTr="00527772">
        <w:trPr>
          <w:trHeight w:val="20"/>
        </w:trPr>
        <w:tc>
          <w:tcPr>
            <w:tcW w:w="9629" w:type="dxa"/>
          </w:tcPr>
          <w:p w14:paraId="7179D7AA" w14:textId="77777777" w:rsidR="00527772" w:rsidRPr="00527772" w:rsidRDefault="00527772" w:rsidP="00527772">
            <w:pPr>
              <w:spacing w:after="0"/>
              <w:rPr>
                <w:i/>
                <w:iCs/>
                <w:sz w:val="20"/>
                <w:szCs w:val="20"/>
              </w:rPr>
            </w:pPr>
            <w:r w:rsidRPr="00527772">
              <w:rPr>
                <w:iCs/>
                <w:sz w:val="20"/>
                <w:szCs w:val="20"/>
              </w:rPr>
              <w:t>RSRP</w:t>
            </w:r>
            <w:r w:rsidRPr="00527772">
              <w:rPr>
                <w:iCs/>
                <w:sz w:val="20"/>
                <w:szCs w:val="20"/>
                <w:vertAlign w:val="subscript"/>
              </w:rPr>
              <w:t>1</w:t>
            </w:r>
            <w:r w:rsidRPr="00527772">
              <w:rPr>
                <w:iCs/>
                <w:sz w:val="20"/>
                <w:szCs w:val="20"/>
              </w:rPr>
              <w:t xml:space="preserve"> and RSRP</w:t>
            </w:r>
            <w:r w:rsidRPr="00527772">
              <w:rPr>
                <w:iCs/>
                <w:sz w:val="20"/>
                <w:szCs w:val="20"/>
                <w:vertAlign w:val="subscript"/>
              </w:rPr>
              <w:t>2</w:t>
            </w:r>
            <w:r w:rsidRPr="00527772">
              <w:rPr>
                <w:iCs/>
                <w:sz w:val="20"/>
                <w:szCs w:val="20"/>
              </w:rPr>
              <w:t xml:space="preserve"> are </w:t>
            </w:r>
            <w:r w:rsidRPr="00527772">
              <w:rPr>
                <w:sz w:val="20"/>
                <w:szCs w:val="20"/>
              </w:rPr>
              <w:t>considered valid provided that the conditions in Table 5.5.3-1 and Table 5.5.3-2 are met for FR1 and FR2-1.</w:t>
            </w:r>
          </w:p>
          <w:p w14:paraId="6A539A81" w14:textId="77777777" w:rsidR="00527772" w:rsidRPr="00527772" w:rsidRDefault="00527772" w:rsidP="00527772">
            <w:pPr>
              <w:pStyle w:val="TH"/>
              <w:spacing w:before="100" w:after="0"/>
              <w:rPr>
                <w:rFonts w:ascii="Times New Roman" w:hAnsi="Times New Roman"/>
                <w:sz w:val="20"/>
                <w:szCs w:val="20"/>
              </w:rPr>
            </w:pPr>
            <w:r w:rsidRPr="00527772">
              <w:rPr>
                <w:rFonts w:ascii="Times New Roman" w:hAnsi="Times New Roman"/>
                <w:sz w:val="20"/>
                <w:szCs w:val="20"/>
              </w:rPr>
              <w:t>Table 5.5.3-1 Valid measurement for FR1</w:t>
            </w:r>
          </w:p>
          <w:tbl>
            <w:tblPr>
              <w:tblStyle w:val="TableGrid"/>
              <w:tblW w:w="0" w:type="auto"/>
              <w:tblLook w:val="04A0" w:firstRow="1" w:lastRow="0" w:firstColumn="1" w:lastColumn="0" w:noHBand="0" w:noVBand="1"/>
            </w:tblPr>
            <w:tblGrid>
              <w:gridCol w:w="1824"/>
              <w:gridCol w:w="7579"/>
            </w:tblGrid>
            <w:tr w:rsidR="00527772" w:rsidRPr="00527772" w14:paraId="6746ED4C" w14:textId="77777777" w:rsidTr="00527772">
              <w:tc>
                <w:tcPr>
                  <w:tcW w:w="1838" w:type="dxa"/>
                  <w:tcBorders>
                    <w:top w:val="single" w:sz="4" w:space="0" w:color="auto"/>
                    <w:left w:val="single" w:sz="4" w:space="0" w:color="auto"/>
                    <w:bottom w:val="single" w:sz="4" w:space="0" w:color="auto"/>
                    <w:right w:val="single" w:sz="4" w:space="0" w:color="auto"/>
                  </w:tcBorders>
                  <w:hideMark/>
                </w:tcPr>
                <w:p w14:paraId="245B298C" w14:textId="77777777" w:rsidR="00527772" w:rsidRPr="00527772" w:rsidRDefault="00527772" w:rsidP="00527772">
                  <w:pPr>
                    <w:pStyle w:val="TAH"/>
                    <w:spacing w:after="0"/>
                    <w:rPr>
                      <w:rFonts w:ascii="Times New Roman" w:hAnsi="Times New Roman"/>
                      <w:i/>
                      <w:iCs/>
                      <w:sz w:val="20"/>
                      <w:szCs w:val="20"/>
                    </w:rPr>
                  </w:pPr>
                  <w:r w:rsidRPr="00527772">
                    <w:rPr>
                      <w:rFonts w:ascii="Times New Roman" w:hAnsi="Times New Roman"/>
                      <w:sz w:val="20"/>
                      <w:szCs w:val="20"/>
                    </w:rPr>
                    <w:t>Measurement</w:t>
                  </w:r>
                </w:p>
              </w:tc>
              <w:tc>
                <w:tcPr>
                  <w:tcW w:w="7791" w:type="dxa"/>
                  <w:tcBorders>
                    <w:top w:val="single" w:sz="4" w:space="0" w:color="auto"/>
                    <w:left w:val="single" w:sz="4" w:space="0" w:color="auto"/>
                    <w:bottom w:val="single" w:sz="4" w:space="0" w:color="auto"/>
                    <w:right w:val="single" w:sz="4" w:space="0" w:color="auto"/>
                  </w:tcBorders>
                  <w:hideMark/>
                </w:tcPr>
                <w:p w14:paraId="58559BCD" w14:textId="77777777" w:rsidR="00527772" w:rsidRPr="00527772" w:rsidRDefault="00527772" w:rsidP="00527772">
                  <w:pPr>
                    <w:pStyle w:val="TAH"/>
                    <w:spacing w:after="0"/>
                    <w:rPr>
                      <w:rFonts w:ascii="Times New Roman" w:hAnsi="Times New Roman"/>
                      <w:i/>
                      <w:iCs/>
                      <w:sz w:val="20"/>
                      <w:szCs w:val="20"/>
                    </w:rPr>
                  </w:pPr>
                  <w:r w:rsidRPr="00527772">
                    <w:rPr>
                      <w:rFonts w:ascii="Times New Roman" w:hAnsi="Times New Roman"/>
                      <w:sz w:val="20"/>
                      <w:szCs w:val="20"/>
                    </w:rPr>
                    <w:t>FR1</w:t>
                  </w:r>
                </w:p>
              </w:tc>
            </w:tr>
            <w:tr w:rsidR="00527772" w:rsidRPr="00527772" w14:paraId="3F38429B" w14:textId="77777777" w:rsidTr="00527772">
              <w:tc>
                <w:tcPr>
                  <w:tcW w:w="1838" w:type="dxa"/>
                  <w:tcBorders>
                    <w:top w:val="single" w:sz="4" w:space="0" w:color="auto"/>
                    <w:left w:val="single" w:sz="4" w:space="0" w:color="auto"/>
                    <w:bottom w:val="single" w:sz="4" w:space="0" w:color="auto"/>
                    <w:right w:val="single" w:sz="4" w:space="0" w:color="auto"/>
                  </w:tcBorders>
                  <w:hideMark/>
                </w:tcPr>
                <w:p w14:paraId="270A770B" w14:textId="77777777" w:rsidR="00527772" w:rsidRPr="00527772" w:rsidRDefault="00527772" w:rsidP="00527772">
                  <w:pPr>
                    <w:pStyle w:val="TAC"/>
                    <w:spacing w:after="0"/>
                    <w:rPr>
                      <w:rFonts w:ascii="Times New Roman" w:hAnsi="Times New Roman"/>
                      <w:i/>
                      <w:iCs/>
                      <w:sz w:val="20"/>
                      <w:szCs w:val="20"/>
                    </w:rPr>
                  </w:pPr>
                  <w:r w:rsidRPr="00527772">
                    <w:rPr>
                      <w:rFonts w:ascii="Times New Roman" w:hAnsi="Times New Roman"/>
                      <w:sz w:val="20"/>
                      <w:szCs w:val="20"/>
                    </w:rPr>
                    <w:t>RSRP</w:t>
                  </w:r>
                  <w:r w:rsidRPr="00527772">
                    <w:rPr>
                      <w:rFonts w:ascii="Times New Roman" w:hAnsi="Times New Roman"/>
                      <w:sz w:val="20"/>
                      <w:szCs w:val="20"/>
                      <w:vertAlign w:val="subscript"/>
                    </w:rPr>
                    <w:t>1</w:t>
                  </w:r>
                </w:p>
              </w:tc>
              <w:tc>
                <w:tcPr>
                  <w:tcW w:w="7791" w:type="dxa"/>
                  <w:tcBorders>
                    <w:top w:val="single" w:sz="4" w:space="0" w:color="auto"/>
                    <w:left w:val="single" w:sz="4" w:space="0" w:color="auto"/>
                    <w:bottom w:val="single" w:sz="4" w:space="0" w:color="auto"/>
                    <w:right w:val="single" w:sz="4" w:space="0" w:color="auto"/>
                  </w:tcBorders>
                  <w:hideMark/>
                </w:tcPr>
                <w:p w14:paraId="5785B331" w14:textId="77777777" w:rsidR="00527772" w:rsidRPr="00527772" w:rsidRDefault="00527772" w:rsidP="00527772">
                  <w:pPr>
                    <w:pStyle w:val="TAC"/>
                    <w:spacing w:after="0"/>
                    <w:rPr>
                      <w:rFonts w:ascii="Times New Roman" w:hAnsi="Times New Roman"/>
                      <w:i/>
                      <w:iCs/>
                      <w:sz w:val="20"/>
                      <w:szCs w:val="20"/>
                    </w:rPr>
                  </w:pPr>
                  <w:r w:rsidRPr="00527772">
                    <w:rPr>
                      <w:rFonts w:ascii="Times New Roman" w:hAnsi="Times New Roman"/>
                      <w:sz w:val="20"/>
                      <w:szCs w:val="20"/>
                    </w:rPr>
                    <w:t xml:space="preserve">(T1 – </w:t>
                  </w:r>
                  <w:proofErr w:type="gramStart"/>
                  <w:r w:rsidRPr="00527772">
                    <w:rPr>
                      <w:rFonts w:ascii="Times New Roman" w:hAnsi="Times New Roman"/>
                      <w:sz w:val="20"/>
                      <w:szCs w:val="20"/>
                    </w:rPr>
                    <w:t>min(</w:t>
                  </w:r>
                  <w:proofErr w:type="gramEnd"/>
                  <w:r w:rsidRPr="00527772">
                    <w:rPr>
                      <w:rFonts w:ascii="Times New Roman" w:hAnsi="Times New Roman"/>
                      <w:sz w:val="20"/>
                      <w:szCs w:val="20"/>
                    </w:rPr>
                    <w:t>640ms, M1*T</w:t>
                  </w:r>
                  <w:r w:rsidRPr="00527772">
                    <w:rPr>
                      <w:rFonts w:ascii="Times New Roman" w:hAnsi="Times New Roman"/>
                      <w:sz w:val="20"/>
                      <w:szCs w:val="20"/>
                      <w:vertAlign w:val="subscript"/>
                    </w:rPr>
                    <w:t>DRX</w:t>
                  </w:r>
                  <w:r w:rsidRPr="00527772">
                    <w:rPr>
                      <w:rFonts w:ascii="Times New Roman" w:hAnsi="Times New Roman"/>
                      <w:sz w:val="20"/>
                      <w:szCs w:val="20"/>
                    </w:rPr>
                    <w:t>)) ≤ T1’ ≤ (T1 + min(640ms, M1*T</w:t>
                  </w:r>
                  <w:r w:rsidRPr="00527772">
                    <w:rPr>
                      <w:rFonts w:ascii="Times New Roman" w:hAnsi="Times New Roman"/>
                      <w:sz w:val="20"/>
                      <w:szCs w:val="20"/>
                      <w:vertAlign w:val="subscript"/>
                    </w:rPr>
                    <w:t>DRX</w:t>
                  </w:r>
                  <w:r w:rsidRPr="00527772">
                    <w:rPr>
                      <w:rFonts w:ascii="Times New Roman" w:hAnsi="Times New Roman"/>
                      <w:sz w:val="20"/>
                      <w:szCs w:val="20"/>
                    </w:rPr>
                    <w:t>))</w:t>
                  </w:r>
                </w:p>
              </w:tc>
            </w:tr>
            <w:tr w:rsidR="00527772" w:rsidRPr="00527772" w14:paraId="145821ED" w14:textId="77777777" w:rsidTr="00527772">
              <w:tc>
                <w:tcPr>
                  <w:tcW w:w="1838" w:type="dxa"/>
                  <w:tcBorders>
                    <w:top w:val="single" w:sz="4" w:space="0" w:color="auto"/>
                    <w:left w:val="single" w:sz="4" w:space="0" w:color="auto"/>
                    <w:bottom w:val="single" w:sz="4" w:space="0" w:color="auto"/>
                    <w:right w:val="single" w:sz="4" w:space="0" w:color="auto"/>
                  </w:tcBorders>
                  <w:hideMark/>
                </w:tcPr>
                <w:p w14:paraId="6C600C0C" w14:textId="77777777" w:rsidR="00527772" w:rsidRPr="00527772" w:rsidRDefault="00527772" w:rsidP="00527772">
                  <w:pPr>
                    <w:pStyle w:val="TAC"/>
                    <w:spacing w:after="0"/>
                    <w:rPr>
                      <w:rFonts w:ascii="Times New Roman" w:hAnsi="Times New Roman"/>
                      <w:i/>
                      <w:iCs/>
                      <w:sz w:val="20"/>
                      <w:szCs w:val="20"/>
                    </w:rPr>
                  </w:pPr>
                  <w:r w:rsidRPr="00527772">
                    <w:rPr>
                      <w:rFonts w:ascii="Times New Roman" w:hAnsi="Times New Roman"/>
                      <w:sz w:val="20"/>
                      <w:szCs w:val="20"/>
                    </w:rPr>
                    <w:t>RSRP</w:t>
                  </w:r>
                  <w:r w:rsidRPr="00527772">
                    <w:rPr>
                      <w:rFonts w:ascii="Times New Roman" w:hAnsi="Times New Roman"/>
                      <w:sz w:val="20"/>
                      <w:szCs w:val="20"/>
                      <w:vertAlign w:val="subscript"/>
                    </w:rPr>
                    <w:t>2</w:t>
                  </w:r>
                </w:p>
              </w:tc>
              <w:tc>
                <w:tcPr>
                  <w:tcW w:w="7791" w:type="dxa"/>
                  <w:tcBorders>
                    <w:top w:val="single" w:sz="4" w:space="0" w:color="auto"/>
                    <w:left w:val="single" w:sz="4" w:space="0" w:color="auto"/>
                    <w:bottom w:val="single" w:sz="4" w:space="0" w:color="auto"/>
                    <w:right w:val="single" w:sz="4" w:space="0" w:color="auto"/>
                  </w:tcBorders>
                  <w:hideMark/>
                </w:tcPr>
                <w:p w14:paraId="3BBB1D19" w14:textId="77777777" w:rsidR="00527772" w:rsidRPr="00527772" w:rsidRDefault="00527772" w:rsidP="00527772">
                  <w:pPr>
                    <w:pStyle w:val="TAC"/>
                    <w:spacing w:after="0"/>
                    <w:rPr>
                      <w:rFonts w:ascii="Times New Roman" w:hAnsi="Times New Roman"/>
                      <w:i/>
                      <w:iCs/>
                      <w:sz w:val="20"/>
                      <w:szCs w:val="20"/>
                    </w:rPr>
                  </w:pPr>
                  <w:r w:rsidRPr="00527772">
                    <w:rPr>
                      <w:rFonts w:ascii="Times New Roman" w:hAnsi="Times New Roman"/>
                      <w:sz w:val="20"/>
                      <w:szCs w:val="20"/>
                    </w:rPr>
                    <w:t xml:space="preserve">(T2 – </w:t>
                  </w:r>
                  <w:proofErr w:type="gramStart"/>
                  <w:r w:rsidRPr="00527772">
                    <w:rPr>
                      <w:rFonts w:ascii="Times New Roman" w:hAnsi="Times New Roman"/>
                      <w:sz w:val="20"/>
                      <w:szCs w:val="20"/>
                    </w:rPr>
                    <w:t>min(</w:t>
                  </w:r>
                  <w:proofErr w:type="gramEnd"/>
                  <w:r w:rsidRPr="00527772">
                    <w:rPr>
                      <w:rFonts w:ascii="Times New Roman" w:hAnsi="Times New Roman"/>
                      <w:sz w:val="20"/>
                      <w:szCs w:val="20"/>
                    </w:rPr>
                    <w:t>640ms, M1*T</w:t>
                  </w:r>
                  <w:r w:rsidRPr="00527772">
                    <w:rPr>
                      <w:rFonts w:ascii="Times New Roman" w:hAnsi="Times New Roman"/>
                      <w:sz w:val="20"/>
                      <w:szCs w:val="20"/>
                      <w:vertAlign w:val="subscript"/>
                    </w:rPr>
                    <w:t>DRX</w:t>
                  </w:r>
                  <w:r w:rsidRPr="00527772">
                    <w:rPr>
                      <w:rFonts w:ascii="Times New Roman" w:hAnsi="Times New Roman"/>
                      <w:sz w:val="20"/>
                      <w:szCs w:val="20"/>
                    </w:rPr>
                    <w:t>)) ≤ T2’ ≤ T2</w:t>
                  </w:r>
                </w:p>
              </w:tc>
            </w:tr>
          </w:tbl>
          <w:p w14:paraId="141A2C69" w14:textId="77777777" w:rsidR="00527772" w:rsidRPr="00527772" w:rsidRDefault="00527772" w:rsidP="00527772">
            <w:pPr>
              <w:spacing w:after="0"/>
              <w:jc w:val="center"/>
              <w:rPr>
                <w:i/>
                <w:iCs/>
                <w:sz w:val="20"/>
                <w:szCs w:val="20"/>
              </w:rPr>
            </w:pPr>
            <w:r w:rsidRPr="00527772">
              <w:rPr>
                <w:i/>
                <w:iCs/>
                <w:sz w:val="20"/>
                <w:szCs w:val="20"/>
              </w:rPr>
              <w:t xml:space="preserve"> </w:t>
            </w:r>
          </w:p>
          <w:p w14:paraId="4B266B2C" w14:textId="77777777" w:rsidR="00527772" w:rsidRPr="00527772" w:rsidRDefault="00527772" w:rsidP="00527772">
            <w:pPr>
              <w:pStyle w:val="TH"/>
              <w:spacing w:before="100" w:after="0"/>
              <w:rPr>
                <w:rFonts w:ascii="Times New Roman" w:hAnsi="Times New Roman"/>
                <w:sz w:val="20"/>
                <w:szCs w:val="20"/>
              </w:rPr>
            </w:pPr>
            <w:r w:rsidRPr="00527772">
              <w:rPr>
                <w:rFonts w:ascii="Times New Roman" w:hAnsi="Times New Roman"/>
                <w:sz w:val="20"/>
                <w:szCs w:val="20"/>
              </w:rPr>
              <w:t>Table 5.5.3-2 Valid measurement for FR2-1</w:t>
            </w:r>
          </w:p>
          <w:tbl>
            <w:tblPr>
              <w:tblStyle w:val="TableGrid"/>
              <w:tblW w:w="0" w:type="auto"/>
              <w:tblLook w:val="04A0" w:firstRow="1" w:lastRow="0" w:firstColumn="1" w:lastColumn="0" w:noHBand="0" w:noVBand="1"/>
            </w:tblPr>
            <w:tblGrid>
              <w:gridCol w:w="1824"/>
              <w:gridCol w:w="7579"/>
            </w:tblGrid>
            <w:tr w:rsidR="00527772" w:rsidRPr="00527772" w14:paraId="6644AC7D" w14:textId="77777777" w:rsidTr="00527772">
              <w:tc>
                <w:tcPr>
                  <w:tcW w:w="1838" w:type="dxa"/>
                  <w:tcBorders>
                    <w:top w:val="single" w:sz="4" w:space="0" w:color="auto"/>
                    <w:left w:val="single" w:sz="4" w:space="0" w:color="auto"/>
                    <w:bottom w:val="single" w:sz="4" w:space="0" w:color="auto"/>
                    <w:right w:val="single" w:sz="4" w:space="0" w:color="auto"/>
                  </w:tcBorders>
                  <w:hideMark/>
                </w:tcPr>
                <w:p w14:paraId="1BEA4536" w14:textId="77777777" w:rsidR="00527772" w:rsidRPr="00527772" w:rsidRDefault="00527772" w:rsidP="00527772">
                  <w:pPr>
                    <w:pStyle w:val="TAH"/>
                    <w:spacing w:after="0"/>
                    <w:rPr>
                      <w:rFonts w:ascii="Times New Roman" w:hAnsi="Times New Roman"/>
                      <w:i/>
                      <w:iCs/>
                      <w:sz w:val="20"/>
                      <w:szCs w:val="20"/>
                    </w:rPr>
                  </w:pPr>
                  <w:r w:rsidRPr="00527772">
                    <w:rPr>
                      <w:rFonts w:ascii="Times New Roman" w:hAnsi="Times New Roman"/>
                      <w:sz w:val="20"/>
                      <w:szCs w:val="20"/>
                    </w:rPr>
                    <w:t>Measurement</w:t>
                  </w:r>
                </w:p>
              </w:tc>
              <w:tc>
                <w:tcPr>
                  <w:tcW w:w="7791" w:type="dxa"/>
                  <w:tcBorders>
                    <w:top w:val="single" w:sz="4" w:space="0" w:color="auto"/>
                    <w:left w:val="single" w:sz="4" w:space="0" w:color="auto"/>
                    <w:bottom w:val="single" w:sz="4" w:space="0" w:color="auto"/>
                    <w:right w:val="single" w:sz="4" w:space="0" w:color="auto"/>
                  </w:tcBorders>
                  <w:hideMark/>
                </w:tcPr>
                <w:p w14:paraId="056DF460" w14:textId="77777777" w:rsidR="00527772" w:rsidRPr="00527772" w:rsidRDefault="00527772" w:rsidP="00527772">
                  <w:pPr>
                    <w:pStyle w:val="TAH"/>
                    <w:spacing w:after="0"/>
                    <w:rPr>
                      <w:rFonts w:ascii="Times New Roman" w:hAnsi="Times New Roman"/>
                      <w:i/>
                      <w:iCs/>
                      <w:sz w:val="20"/>
                      <w:szCs w:val="20"/>
                    </w:rPr>
                  </w:pPr>
                  <w:r w:rsidRPr="00527772">
                    <w:rPr>
                      <w:rFonts w:ascii="Times New Roman" w:hAnsi="Times New Roman"/>
                      <w:sz w:val="20"/>
                      <w:szCs w:val="20"/>
                    </w:rPr>
                    <w:t>FR2-1</w:t>
                  </w:r>
                </w:p>
              </w:tc>
            </w:tr>
            <w:tr w:rsidR="00527772" w:rsidRPr="00527772" w14:paraId="752339D8" w14:textId="77777777" w:rsidTr="00527772">
              <w:tc>
                <w:tcPr>
                  <w:tcW w:w="1838" w:type="dxa"/>
                  <w:tcBorders>
                    <w:top w:val="single" w:sz="4" w:space="0" w:color="auto"/>
                    <w:left w:val="single" w:sz="4" w:space="0" w:color="auto"/>
                    <w:bottom w:val="single" w:sz="4" w:space="0" w:color="auto"/>
                    <w:right w:val="single" w:sz="4" w:space="0" w:color="auto"/>
                  </w:tcBorders>
                  <w:hideMark/>
                </w:tcPr>
                <w:p w14:paraId="739A184A" w14:textId="77777777" w:rsidR="00527772" w:rsidRPr="00527772" w:rsidRDefault="00527772" w:rsidP="00527772">
                  <w:pPr>
                    <w:pStyle w:val="TAC"/>
                    <w:spacing w:after="0"/>
                    <w:rPr>
                      <w:rFonts w:ascii="Times New Roman" w:hAnsi="Times New Roman"/>
                      <w:i/>
                      <w:iCs/>
                      <w:sz w:val="20"/>
                      <w:szCs w:val="20"/>
                    </w:rPr>
                  </w:pPr>
                  <w:r w:rsidRPr="00527772">
                    <w:rPr>
                      <w:rFonts w:ascii="Times New Roman" w:hAnsi="Times New Roman"/>
                      <w:sz w:val="20"/>
                      <w:szCs w:val="20"/>
                    </w:rPr>
                    <w:t>RSRP</w:t>
                  </w:r>
                  <w:r w:rsidRPr="00527772">
                    <w:rPr>
                      <w:rFonts w:ascii="Times New Roman" w:hAnsi="Times New Roman"/>
                      <w:sz w:val="20"/>
                      <w:szCs w:val="20"/>
                      <w:vertAlign w:val="subscript"/>
                    </w:rPr>
                    <w:t>1</w:t>
                  </w:r>
                </w:p>
              </w:tc>
              <w:tc>
                <w:tcPr>
                  <w:tcW w:w="7791" w:type="dxa"/>
                  <w:tcBorders>
                    <w:top w:val="single" w:sz="4" w:space="0" w:color="auto"/>
                    <w:left w:val="single" w:sz="4" w:space="0" w:color="auto"/>
                    <w:bottom w:val="single" w:sz="4" w:space="0" w:color="auto"/>
                    <w:right w:val="single" w:sz="4" w:space="0" w:color="auto"/>
                  </w:tcBorders>
                  <w:hideMark/>
                </w:tcPr>
                <w:p w14:paraId="79A2C9C3" w14:textId="77777777" w:rsidR="00527772" w:rsidRPr="00527772" w:rsidRDefault="00527772" w:rsidP="00527772">
                  <w:pPr>
                    <w:pStyle w:val="TAC"/>
                    <w:spacing w:after="0"/>
                    <w:rPr>
                      <w:rFonts w:ascii="Times New Roman" w:hAnsi="Times New Roman"/>
                      <w:i/>
                      <w:iCs/>
                      <w:sz w:val="20"/>
                      <w:szCs w:val="20"/>
                    </w:rPr>
                  </w:pPr>
                  <w:r w:rsidRPr="00527772">
                    <w:rPr>
                      <w:rFonts w:ascii="Times New Roman" w:hAnsi="Times New Roman"/>
                      <w:sz w:val="20"/>
                      <w:szCs w:val="20"/>
                    </w:rPr>
                    <w:t>(T1 – [</w:t>
                  </w:r>
                  <w:proofErr w:type="gramStart"/>
                  <w:r w:rsidRPr="00527772">
                    <w:rPr>
                      <w:rFonts w:ascii="Times New Roman" w:hAnsi="Times New Roman"/>
                      <w:sz w:val="20"/>
                      <w:szCs w:val="20"/>
                    </w:rPr>
                    <w:t>max{</w:t>
                  </w:r>
                  <w:proofErr w:type="gramEnd"/>
                  <w:r w:rsidRPr="00527772">
                    <w:rPr>
                      <w:rFonts w:ascii="Times New Roman" w:hAnsi="Times New Roman"/>
                      <w:sz w:val="20"/>
                      <w:szCs w:val="20"/>
                    </w:rPr>
                    <w:t>480ms, 8*SMTC periodicity}]) ≤ T1’ ≤ (T1 + [max{480ms, 8*SMTC periodicity}])</w:t>
                  </w:r>
                </w:p>
              </w:tc>
            </w:tr>
            <w:tr w:rsidR="00527772" w:rsidRPr="00527772" w14:paraId="04FEC83A" w14:textId="77777777" w:rsidTr="00527772">
              <w:tc>
                <w:tcPr>
                  <w:tcW w:w="1838" w:type="dxa"/>
                  <w:tcBorders>
                    <w:top w:val="single" w:sz="4" w:space="0" w:color="auto"/>
                    <w:left w:val="single" w:sz="4" w:space="0" w:color="auto"/>
                    <w:bottom w:val="single" w:sz="4" w:space="0" w:color="auto"/>
                    <w:right w:val="single" w:sz="4" w:space="0" w:color="auto"/>
                  </w:tcBorders>
                  <w:hideMark/>
                </w:tcPr>
                <w:p w14:paraId="636F04FC" w14:textId="77777777" w:rsidR="00527772" w:rsidRPr="00527772" w:rsidRDefault="00527772" w:rsidP="00527772">
                  <w:pPr>
                    <w:pStyle w:val="TAC"/>
                    <w:spacing w:after="0"/>
                    <w:rPr>
                      <w:rFonts w:ascii="Times New Roman" w:hAnsi="Times New Roman"/>
                      <w:i/>
                      <w:iCs/>
                      <w:sz w:val="20"/>
                      <w:szCs w:val="20"/>
                    </w:rPr>
                  </w:pPr>
                  <w:r w:rsidRPr="00527772">
                    <w:rPr>
                      <w:rFonts w:ascii="Times New Roman" w:hAnsi="Times New Roman"/>
                      <w:sz w:val="20"/>
                      <w:szCs w:val="20"/>
                    </w:rPr>
                    <w:t>RSRP</w:t>
                  </w:r>
                  <w:r w:rsidRPr="00527772">
                    <w:rPr>
                      <w:rFonts w:ascii="Times New Roman" w:hAnsi="Times New Roman"/>
                      <w:sz w:val="20"/>
                      <w:szCs w:val="20"/>
                      <w:vertAlign w:val="subscript"/>
                    </w:rPr>
                    <w:t>2</w:t>
                  </w:r>
                </w:p>
              </w:tc>
              <w:tc>
                <w:tcPr>
                  <w:tcW w:w="7791" w:type="dxa"/>
                  <w:tcBorders>
                    <w:top w:val="single" w:sz="4" w:space="0" w:color="auto"/>
                    <w:left w:val="single" w:sz="4" w:space="0" w:color="auto"/>
                    <w:bottom w:val="single" w:sz="4" w:space="0" w:color="auto"/>
                    <w:right w:val="single" w:sz="4" w:space="0" w:color="auto"/>
                  </w:tcBorders>
                  <w:hideMark/>
                </w:tcPr>
                <w:p w14:paraId="351F1894" w14:textId="77777777" w:rsidR="00527772" w:rsidRPr="00527772" w:rsidRDefault="00527772" w:rsidP="00527772">
                  <w:pPr>
                    <w:pStyle w:val="TAC"/>
                    <w:spacing w:after="0"/>
                    <w:rPr>
                      <w:rFonts w:ascii="Times New Roman" w:hAnsi="Times New Roman"/>
                      <w:i/>
                      <w:iCs/>
                      <w:sz w:val="20"/>
                      <w:szCs w:val="20"/>
                    </w:rPr>
                  </w:pPr>
                  <w:r w:rsidRPr="00527772">
                    <w:rPr>
                      <w:rFonts w:ascii="Times New Roman" w:hAnsi="Times New Roman"/>
                      <w:sz w:val="20"/>
                      <w:szCs w:val="20"/>
                    </w:rPr>
                    <w:t>(T2 – [</w:t>
                  </w:r>
                  <w:proofErr w:type="gramStart"/>
                  <w:r w:rsidRPr="00527772">
                    <w:rPr>
                      <w:rFonts w:ascii="Times New Roman" w:hAnsi="Times New Roman"/>
                      <w:sz w:val="20"/>
                      <w:szCs w:val="20"/>
                    </w:rPr>
                    <w:t>max{</w:t>
                  </w:r>
                  <w:proofErr w:type="gramEnd"/>
                  <w:r w:rsidRPr="00527772">
                    <w:rPr>
                      <w:rFonts w:ascii="Times New Roman" w:hAnsi="Times New Roman"/>
                      <w:sz w:val="20"/>
                      <w:szCs w:val="20"/>
                    </w:rPr>
                    <w:t>480ms, 8*SMTC periodicity}]) ≤ T2’ ≤ T2</w:t>
                  </w:r>
                </w:p>
              </w:tc>
            </w:tr>
          </w:tbl>
          <w:p w14:paraId="3D54001C" w14:textId="77777777" w:rsidR="00527772" w:rsidRPr="00527772" w:rsidRDefault="00527772" w:rsidP="00527772">
            <w:pPr>
              <w:spacing w:after="0"/>
              <w:jc w:val="center"/>
              <w:rPr>
                <w:i/>
                <w:iCs/>
                <w:sz w:val="20"/>
                <w:szCs w:val="20"/>
              </w:rPr>
            </w:pPr>
            <w:r w:rsidRPr="00527772">
              <w:rPr>
                <w:i/>
                <w:iCs/>
                <w:sz w:val="20"/>
                <w:szCs w:val="20"/>
              </w:rPr>
              <w:t xml:space="preserve"> </w:t>
            </w:r>
          </w:p>
          <w:p w14:paraId="43E22112" w14:textId="64DDDAFD" w:rsidR="00527772" w:rsidRPr="00527772" w:rsidRDefault="00527772" w:rsidP="00527772">
            <w:pPr>
              <w:spacing w:after="0"/>
              <w:rPr>
                <w:sz w:val="20"/>
                <w:szCs w:val="20"/>
              </w:rPr>
            </w:pPr>
            <w:r w:rsidRPr="00527772">
              <w:rPr>
                <w:sz w:val="20"/>
                <w:szCs w:val="20"/>
              </w:rPr>
              <w:t xml:space="preserve">If at least one of </w:t>
            </w:r>
            <w:r w:rsidRPr="00527772">
              <w:rPr>
                <w:iCs/>
                <w:sz w:val="20"/>
                <w:szCs w:val="20"/>
              </w:rPr>
              <w:t>RSRP</w:t>
            </w:r>
            <w:r w:rsidRPr="00527772">
              <w:rPr>
                <w:iCs/>
                <w:sz w:val="20"/>
                <w:szCs w:val="20"/>
                <w:vertAlign w:val="subscript"/>
              </w:rPr>
              <w:t>1</w:t>
            </w:r>
            <w:r w:rsidRPr="00527772">
              <w:rPr>
                <w:iCs/>
                <w:sz w:val="20"/>
                <w:szCs w:val="20"/>
              </w:rPr>
              <w:t xml:space="preserve"> and RSRP</w:t>
            </w:r>
            <w:r w:rsidRPr="00527772">
              <w:rPr>
                <w:iCs/>
                <w:sz w:val="20"/>
                <w:szCs w:val="20"/>
                <w:vertAlign w:val="subscript"/>
              </w:rPr>
              <w:t>2</w:t>
            </w:r>
            <w:r w:rsidRPr="00527772">
              <w:rPr>
                <w:iCs/>
                <w:sz w:val="20"/>
                <w:szCs w:val="20"/>
              </w:rPr>
              <w:t xml:space="preserve"> </w:t>
            </w:r>
            <w:proofErr w:type="gramStart"/>
            <w:r w:rsidRPr="00527772">
              <w:rPr>
                <w:sz w:val="20"/>
                <w:szCs w:val="20"/>
              </w:rPr>
              <w:t>is considered to be</w:t>
            </w:r>
            <w:proofErr w:type="gramEnd"/>
            <w:r w:rsidRPr="00527772">
              <w:rPr>
                <w:sz w:val="20"/>
                <w:szCs w:val="20"/>
              </w:rPr>
              <w:t xml:space="preserve"> invalid based on the above conditions, then the UE shall not validate the CG-SDT using </w:t>
            </w:r>
            <w:r w:rsidRPr="00527772">
              <w:rPr>
                <w:iCs/>
                <w:sz w:val="20"/>
                <w:szCs w:val="20"/>
              </w:rPr>
              <w:t>RSRP</w:t>
            </w:r>
            <w:r w:rsidRPr="00527772">
              <w:rPr>
                <w:iCs/>
                <w:sz w:val="20"/>
                <w:szCs w:val="20"/>
                <w:vertAlign w:val="subscript"/>
              </w:rPr>
              <w:t>1</w:t>
            </w:r>
            <w:r w:rsidRPr="00527772">
              <w:rPr>
                <w:iCs/>
                <w:sz w:val="20"/>
                <w:szCs w:val="20"/>
              </w:rPr>
              <w:t xml:space="preserve"> and RSRP</w:t>
            </w:r>
            <w:r w:rsidRPr="00527772">
              <w:rPr>
                <w:iCs/>
                <w:sz w:val="20"/>
                <w:szCs w:val="20"/>
                <w:vertAlign w:val="subscript"/>
              </w:rPr>
              <w:t>2</w:t>
            </w:r>
            <w:r w:rsidRPr="00527772">
              <w:rPr>
                <w:iCs/>
                <w:sz w:val="20"/>
                <w:szCs w:val="20"/>
              </w:rPr>
              <w:t xml:space="preserve"> </w:t>
            </w:r>
            <w:r w:rsidRPr="00527772">
              <w:rPr>
                <w:sz w:val="20"/>
                <w:szCs w:val="20"/>
              </w:rPr>
              <w:t xml:space="preserve">and shall not transmit using CG-SDT. Additionally, the UE shall not transmit in an CG-SDT occasion that occurs more than [640 </w:t>
            </w:r>
            <w:proofErr w:type="spellStart"/>
            <w:r w:rsidRPr="00527772">
              <w:rPr>
                <w:sz w:val="20"/>
                <w:szCs w:val="20"/>
              </w:rPr>
              <w:t>ms</w:t>
            </w:r>
            <w:proofErr w:type="spellEnd"/>
            <w:r w:rsidRPr="00527772">
              <w:rPr>
                <w:sz w:val="20"/>
                <w:szCs w:val="20"/>
              </w:rPr>
              <w:t>] after T2.</w:t>
            </w:r>
          </w:p>
        </w:tc>
      </w:tr>
    </w:tbl>
    <w:p w14:paraId="54B234CD" w14:textId="77777777" w:rsidR="00C7420A" w:rsidRDefault="00527772" w:rsidP="00527772">
      <w:pPr>
        <w:tabs>
          <w:tab w:val="left" w:pos="990"/>
        </w:tabs>
        <w:spacing w:after="120"/>
        <w:jc w:val="both"/>
      </w:pPr>
      <w:r>
        <w:t xml:space="preserve">The TA validation for CG-SDT in FR2-1 is not associated with DRX cycle, and therefore the existing TA validation requirement in FR2-1 can be reused for </w:t>
      </w:r>
      <w:proofErr w:type="spellStart"/>
      <w:r>
        <w:t>RedCap</w:t>
      </w:r>
      <w:proofErr w:type="spellEnd"/>
      <w:r>
        <w:t xml:space="preserve"> UE. Regarding FR1,</w:t>
      </w:r>
      <w:r w:rsidR="00C7420A">
        <w:t xml:space="preserve"> since in </w:t>
      </w:r>
      <w:proofErr w:type="spellStart"/>
      <w:r w:rsidR="00C7420A">
        <w:t>RedCap</w:t>
      </w:r>
      <w:proofErr w:type="spellEnd"/>
      <w:r w:rsidR="00C7420A">
        <w:t xml:space="preserve"> inactive mode the serving cell measurement period is specified based on T in table </w:t>
      </w:r>
      <w:proofErr w:type="spellStart"/>
      <w:r w:rsidR="00C7420A" w:rsidRPr="00C7420A">
        <w:t>Table</w:t>
      </w:r>
      <w:proofErr w:type="spellEnd"/>
      <w:r w:rsidR="00C7420A" w:rsidRPr="00C7420A">
        <w:t xml:space="preserve"> 5.1B.2.2-1</w:t>
      </w:r>
      <w:r w:rsidR="00C7420A">
        <w:t>, the TA validation requirement shall also be based on T instead of T</w:t>
      </w:r>
      <w:r w:rsidR="00C7420A" w:rsidRPr="00C7420A">
        <w:rPr>
          <w:vertAlign w:val="subscript"/>
        </w:rPr>
        <w:t>DRX</w:t>
      </w:r>
      <w:r w:rsidR="00C7420A">
        <w:t xml:space="preserve">. </w:t>
      </w:r>
    </w:p>
    <w:tbl>
      <w:tblPr>
        <w:tblStyle w:val="TableGrid"/>
        <w:tblW w:w="0" w:type="auto"/>
        <w:tblLook w:val="04A0" w:firstRow="1" w:lastRow="0" w:firstColumn="1" w:lastColumn="0" w:noHBand="0" w:noVBand="1"/>
      </w:tblPr>
      <w:tblGrid>
        <w:gridCol w:w="9629"/>
      </w:tblGrid>
      <w:tr w:rsidR="00C7420A" w14:paraId="0A1366F9" w14:textId="77777777" w:rsidTr="00C7420A">
        <w:tc>
          <w:tcPr>
            <w:tcW w:w="9629" w:type="dxa"/>
          </w:tcPr>
          <w:p w14:paraId="5DBBA85E" w14:textId="77777777" w:rsidR="00C7420A" w:rsidRDefault="00C7420A" w:rsidP="00C7420A">
            <w:pPr>
              <w:pStyle w:val="TH"/>
              <w:rPr>
                <w:rFonts w:cs="v4.2.0"/>
              </w:rPr>
            </w:pPr>
            <w:r>
              <w:rPr>
                <w:rFonts w:cs="v4.2.0"/>
              </w:rPr>
              <w:t xml:space="preserve">Table </w:t>
            </w:r>
            <w:r>
              <w:t>5.1B.2.2</w:t>
            </w:r>
            <w:r>
              <w:rPr>
                <w:rFonts w:cs="v4.2.0"/>
              </w:rPr>
              <w:t xml:space="preserve">-1: </w:t>
            </w:r>
            <w:proofErr w:type="spellStart"/>
            <w:r>
              <w:rPr>
                <w:rFonts w:cs="v4.2.0"/>
              </w:rPr>
              <w:t>N</w:t>
            </w:r>
            <w:r>
              <w:rPr>
                <w:rFonts w:cs="v4.2.0"/>
                <w:vertAlign w:val="subscript"/>
              </w:rPr>
              <w:t>serv_RedCap</w:t>
            </w:r>
            <w:proofErr w:type="spellEnd"/>
            <w:r>
              <w:rPr>
                <w:rFonts w:cs="v4.2.0"/>
                <w:vertAlign w:val="superscript"/>
              </w:rPr>
              <w:t xml:space="preserve"> </w:t>
            </w:r>
            <w:r>
              <w:rPr>
                <w:rFonts w:cs="v4.2.0"/>
              </w:rPr>
              <w:t xml:space="preserve">for inactive Redcap UE configured with </w:t>
            </w:r>
            <w:proofErr w:type="spellStart"/>
            <w:r>
              <w:rPr>
                <w:rFonts w:cs="v4.2.0"/>
              </w:rPr>
              <w:t>eDRX_IDLE</w:t>
            </w:r>
            <w:proofErr w:type="spellEnd"/>
            <w:r>
              <w:rPr>
                <w:rFonts w:cs="v4.2.0"/>
              </w:rPr>
              <w:t xml:space="preserve"> cycle, </w:t>
            </w:r>
            <w: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661"/>
              <w:gridCol w:w="1034"/>
              <w:gridCol w:w="945"/>
            </w:tblGrid>
            <w:tr w:rsidR="00C7420A" w14:paraId="086049D8" w14:textId="77777777" w:rsidTr="00C7420A">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0337106B" w14:textId="77777777" w:rsidR="00C7420A" w:rsidRDefault="00C7420A" w:rsidP="00C7420A">
                  <w:pPr>
                    <w:pStyle w:val="TAH"/>
                    <w:rPr>
                      <w:rFonts w:cs="v4.2.0"/>
                    </w:rPr>
                  </w:pPr>
                  <w:proofErr w:type="spellStart"/>
                  <w:r>
                    <w:rPr>
                      <w:rFonts w:cs="v4.2.0"/>
                    </w:rPr>
                    <w:t>eDRX_IDLE</w:t>
                  </w:r>
                  <w:proofErr w:type="spellEnd"/>
                  <w:r>
                    <w:rPr>
                      <w:rFonts w:cs="v4.2.0"/>
                    </w:rPr>
                    <w:t xml:space="preserve"> cycle length [s]</w:t>
                  </w:r>
                </w:p>
              </w:tc>
              <w:tc>
                <w:tcPr>
                  <w:tcW w:w="1982" w:type="pct"/>
                  <w:tcBorders>
                    <w:top w:val="single" w:sz="4" w:space="0" w:color="auto"/>
                    <w:left w:val="nil"/>
                    <w:bottom w:val="single" w:sz="4" w:space="0" w:color="auto"/>
                    <w:right w:val="single" w:sz="4" w:space="0" w:color="auto"/>
                  </w:tcBorders>
                  <w:hideMark/>
                </w:tcPr>
                <w:p w14:paraId="727D8C6B" w14:textId="77777777" w:rsidR="00C7420A" w:rsidRDefault="00C7420A" w:rsidP="00C7420A">
                  <w:pPr>
                    <w:pStyle w:val="TAH"/>
                    <w:rPr>
                      <w:rFonts w:cs="Arial"/>
                    </w:rPr>
                  </w:pPr>
                  <w:r>
                    <w:rPr>
                      <w:rFonts w:cs="v4.2.0"/>
                    </w:rPr>
                    <w:t xml:space="preserve">DRX or </w:t>
                  </w:r>
                  <w:proofErr w:type="spellStart"/>
                  <w:r>
                    <w:rPr>
                      <w:rFonts w:cs="v4.2.0"/>
                    </w:rPr>
                    <w:t>eDRX</w:t>
                  </w:r>
                  <w:proofErr w:type="spellEnd"/>
                  <w:r>
                    <w:rPr>
                      <w:rFonts w:cs="v4.2.0"/>
                    </w:rPr>
                    <w:t xml:space="preserve"> INACTIVE cycle length[s]</w:t>
                  </w:r>
                </w:p>
              </w:tc>
              <w:tc>
                <w:tcPr>
                  <w:tcW w:w="770" w:type="pct"/>
                  <w:tcBorders>
                    <w:top w:val="single" w:sz="4" w:space="0" w:color="auto"/>
                    <w:left w:val="nil"/>
                    <w:bottom w:val="single" w:sz="4" w:space="0" w:color="auto"/>
                    <w:right w:val="single" w:sz="4" w:space="0" w:color="auto"/>
                  </w:tcBorders>
                  <w:hideMark/>
                </w:tcPr>
                <w:p w14:paraId="5580E3E0" w14:textId="77777777" w:rsidR="00C7420A" w:rsidRDefault="00C7420A" w:rsidP="00C7420A">
                  <w:pPr>
                    <w:pStyle w:val="TAH"/>
                    <w:rPr>
                      <w:rFonts w:cs="Arial"/>
                    </w:rPr>
                  </w:pPr>
                  <w:r>
                    <w:rPr>
                      <w:rFonts w:cs="v4.2.0"/>
                    </w:rPr>
                    <w:t>T [s]</w:t>
                  </w:r>
                </w:p>
              </w:tc>
              <w:tc>
                <w:tcPr>
                  <w:tcW w:w="705" w:type="pct"/>
                  <w:tcBorders>
                    <w:top w:val="single" w:sz="4" w:space="0" w:color="auto"/>
                    <w:left w:val="nil"/>
                    <w:bottom w:val="single" w:sz="4" w:space="0" w:color="auto"/>
                    <w:right w:val="single" w:sz="4" w:space="0" w:color="auto"/>
                  </w:tcBorders>
                  <w:hideMark/>
                </w:tcPr>
                <w:p w14:paraId="4CB2F4A5" w14:textId="77777777" w:rsidR="00C7420A" w:rsidRDefault="00C7420A" w:rsidP="00C7420A">
                  <w:pPr>
                    <w:pStyle w:val="TAH"/>
                    <w:rPr>
                      <w:rFonts w:cs="v4.2.0"/>
                    </w:rPr>
                  </w:pPr>
                  <w:proofErr w:type="spellStart"/>
                  <w:r>
                    <w:rPr>
                      <w:rFonts w:cs="v4.2.0"/>
                    </w:rPr>
                    <w:t>N</w:t>
                  </w:r>
                  <w:r>
                    <w:rPr>
                      <w:rFonts w:cs="v4.2.0"/>
                      <w:vertAlign w:val="subscript"/>
                    </w:rPr>
                    <w:t>serv</w:t>
                  </w:r>
                  <w:proofErr w:type="spellEnd"/>
                  <w:r>
                    <w:rPr>
                      <w:rFonts w:cs="v4.2.0"/>
                      <w:vertAlign w:val="subscript"/>
                    </w:rPr>
                    <w:t xml:space="preserve"> _</w:t>
                  </w:r>
                  <w:proofErr w:type="spellStart"/>
                  <w:r>
                    <w:rPr>
                      <w:rFonts w:cs="v4.2.0"/>
                      <w:vertAlign w:val="subscript"/>
                    </w:rPr>
                    <w:t>RedCap</w:t>
                  </w:r>
                  <w:proofErr w:type="spellEnd"/>
                  <w:r>
                    <w:rPr>
                      <w:rFonts w:cs="v4.2.0"/>
                    </w:rPr>
                    <w:t xml:space="preserve"> [number of </w:t>
                  </w:r>
                  <w:proofErr w:type="gramStart"/>
                  <w:r>
                    <w:rPr>
                      <w:rFonts w:cs="v4.2.0"/>
                    </w:rPr>
                    <w:t>T ]</w:t>
                  </w:r>
                  <w:proofErr w:type="gramEnd"/>
                </w:p>
              </w:tc>
            </w:tr>
            <w:tr w:rsidR="00C7420A" w14:paraId="5E0EF204" w14:textId="77777777" w:rsidTr="00C7420A">
              <w:trPr>
                <w:cantSplit/>
                <w:jc w:val="center"/>
              </w:trPr>
              <w:tc>
                <w:tcPr>
                  <w:tcW w:w="1544" w:type="pct"/>
                  <w:vMerge w:val="restart"/>
                  <w:tcBorders>
                    <w:top w:val="nil"/>
                    <w:left w:val="single" w:sz="4" w:space="0" w:color="auto"/>
                    <w:bottom w:val="single" w:sz="4" w:space="0" w:color="auto"/>
                    <w:right w:val="single" w:sz="4" w:space="0" w:color="auto"/>
                  </w:tcBorders>
                  <w:hideMark/>
                </w:tcPr>
                <w:p w14:paraId="70FD8628" w14:textId="77777777" w:rsidR="00C7420A" w:rsidRDefault="00C7420A" w:rsidP="00C7420A">
                  <w:pPr>
                    <w:pStyle w:val="TAC"/>
                    <w:rPr>
                      <w:rFonts w:cs="Arial"/>
                    </w:rPr>
                  </w:pPr>
                  <w:r>
                    <w:rPr>
                      <w:rFonts w:cs="Arial"/>
                    </w:rPr>
                    <w:t>2.56 ≤</w:t>
                  </w:r>
                  <w:proofErr w:type="spellStart"/>
                  <w:r>
                    <w:rPr>
                      <w:rFonts w:cs="Arial"/>
                    </w:rPr>
                    <w:t>eDRX_IDLE</w:t>
                  </w:r>
                  <w:proofErr w:type="spellEnd"/>
                  <w:r>
                    <w:rPr>
                      <w:rFonts w:cs="Arial"/>
                    </w:rPr>
                    <w:t xml:space="preserve"> cycle length ≤</w:t>
                  </w:r>
                  <w:r>
                    <w:t>10485.76</w:t>
                  </w:r>
                </w:p>
              </w:tc>
              <w:tc>
                <w:tcPr>
                  <w:tcW w:w="1982" w:type="pct"/>
                  <w:vMerge w:val="restart"/>
                  <w:tcBorders>
                    <w:top w:val="nil"/>
                    <w:left w:val="nil"/>
                    <w:bottom w:val="single" w:sz="4" w:space="0" w:color="auto"/>
                    <w:right w:val="single" w:sz="4" w:space="0" w:color="auto"/>
                  </w:tcBorders>
                  <w:hideMark/>
                </w:tcPr>
                <w:p w14:paraId="4910B08E" w14:textId="77777777" w:rsidR="00C7420A" w:rsidRDefault="00C7420A" w:rsidP="00C7420A">
                  <w:pPr>
                    <w:pStyle w:val="TAC"/>
                    <w:rPr>
                      <w:rFonts w:cs="Arial"/>
                    </w:rPr>
                  </w:pPr>
                  <w:r>
                    <w:rPr>
                      <w:rFonts w:cs="Arial"/>
                    </w:rPr>
                    <w:t>0.32 ≤</w:t>
                  </w:r>
                  <w:proofErr w:type="spellStart"/>
                  <w:r>
                    <w:rPr>
                      <w:rFonts w:cs="Arial"/>
                    </w:rPr>
                    <w:t>DRX_Inactive</w:t>
                  </w:r>
                  <w:proofErr w:type="spellEnd"/>
                  <w:r>
                    <w:rPr>
                      <w:rFonts w:cs="Arial"/>
                    </w:rPr>
                    <w:t xml:space="preserve"> cycle length ≤</w:t>
                  </w:r>
                  <w:r>
                    <w:t>2.56; or</w:t>
                  </w:r>
                </w:p>
                <w:p w14:paraId="20521386" w14:textId="77777777" w:rsidR="00C7420A" w:rsidRDefault="00C7420A" w:rsidP="00C7420A">
                  <w:pPr>
                    <w:pStyle w:val="TAC"/>
                    <w:rPr>
                      <w:rFonts w:cs="Arial"/>
                    </w:rPr>
                  </w:pPr>
                  <w:r>
                    <w:rPr>
                      <w:rFonts w:cs="Arial"/>
                    </w:rPr>
                    <w:t>2.56 ≤</w:t>
                  </w:r>
                  <w:proofErr w:type="spellStart"/>
                  <w:r>
                    <w:rPr>
                      <w:rFonts w:cs="Arial"/>
                    </w:rPr>
                    <w:t>eDRX_Inactive</w:t>
                  </w:r>
                  <w:proofErr w:type="spellEnd"/>
                  <w:r>
                    <w:rPr>
                      <w:rFonts w:cs="Arial"/>
                    </w:rPr>
                    <w:t xml:space="preserve"> cycle length ≤</w:t>
                  </w:r>
                  <w:r>
                    <w:t xml:space="preserve">10.24 if inactive </w:t>
                  </w:r>
                  <w:proofErr w:type="spellStart"/>
                  <w:r>
                    <w:t>eDRX</w:t>
                  </w:r>
                  <w:proofErr w:type="spellEnd"/>
                  <w:r>
                    <w:t xml:space="preserve"> is configured</w:t>
                  </w:r>
                </w:p>
                <w:p w14:paraId="07C3D0A7" w14:textId="77777777" w:rsidR="00C7420A" w:rsidRDefault="00C7420A" w:rsidP="00C7420A">
                  <w:pPr>
                    <w:pStyle w:val="TAC"/>
                    <w:rPr>
                      <w:rFonts w:cs="Arial"/>
                    </w:rPr>
                  </w:pPr>
                  <w:r>
                    <w:rPr>
                      <w:rFonts w:cs="Arial"/>
                    </w:rPr>
                    <w:t xml:space="preserve">  </w:t>
                  </w:r>
                </w:p>
              </w:tc>
              <w:tc>
                <w:tcPr>
                  <w:tcW w:w="770" w:type="pct"/>
                  <w:tcBorders>
                    <w:top w:val="single" w:sz="4" w:space="0" w:color="auto"/>
                    <w:left w:val="nil"/>
                    <w:bottom w:val="single" w:sz="4" w:space="0" w:color="auto"/>
                    <w:right w:val="single" w:sz="4" w:space="0" w:color="auto"/>
                  </w:tcBorders>
                  <w:hideMark/>
                </w:tcPr>
                <w:p w14:paraId="7E284964" w14:textId="77777777" w:rsidR="00C7420A" w:rsidRDefault="00C7420A" w:rsidP="00C7420A">
                  <w:pPr>
                    <w:pStyle w:val="TAC"/>
                    <w:rPr>
                      <w:rFonts w:cs="Arial"/>
                    </w:rPr>
                  </w:pPr>
                  <w:r>
                    <w:rPr>
                      <w:rFonts w:cs="Arial"/>
                    </w:rPr>
                    <w:t>0.32</w:t>
                  </w:r>
                </w:p>
              </w:tc>
              <w:tc>
                <w:tcPr>
                  <w:tcW w:w="705" w:type="pct"/>
                  <w:tcBorders>
                    <w:top w:val="single" w:sz="4" w:space="0" w:color="auto"/>
                    <w:left w:val="nil"/>
                    <w:bottom w:val="single" w:sz="4" w:space="0" w:color="auto"/>
                    <w:right w:val="single" w:sz="4" w:space="0" w:color="auto"/>
                  </w:tcBorders>
                  <w:hideMark/>
                </w:tcPr>
                <w:p w14:paraId="6A948067" w14:textId="77777777" w:rsidR="00C7420A" w:rsidRDefault="00C7420A" w:rsidP="00C7420A">
                  <w:pPr>
                    <w:pStyle w:val="TAC"/>
                    <w:rPr>
                      <w:rFonts w:cs="Arial"/>
                    </w:rPr>
                  </w:pPr>
                  <w:r>
                    <w:rPr>
                      <w:rFonts w:cs="Arial"/>
                    </w:rPr>
                    <w:t>4*M1</w:t>
                  </w:r>
                </w:p>
              </w:tc>
            </w:tr>
            <w:tr w:rsidR="00C7420A" w14:paraId="2149561A" w14:textId="77777777" w:rsidTr="00C7420A">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7E67744B"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61E55037"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770" w:type="pct"/>
                  <w:tcBorders>
                    <w:top w:val="single" w:sz="4" w:space="0" w:color="auto"/>
                    <w:left w:val="nil"/>
                    <w:bottom w:val="single" w:sz="4" w:space="0" w:color="auto"/>
                    <w:right w:val="single" w:sz="4" w:space="0" w:color="auto"/>
                  </w:tcBorders>
                  <w:hideMark/>
                </w:tcPr>
                <w:p w14:paraId="35432845" w14:textId="77777777" w:rsidR="00C7420A" w:rsidRDefault="00C7420A" w:rsidP="00C7420A">
                  <w:pPr>
                    <w:pStyle w:val="TAC"/>
                    <w:rPr>
                      <w:rFonts w:cs="Arial"/>
                    </w:rPr>
                  </w:pPr>
                  <w:r>
                    <w:rPr>
                      <w:rFonts w:cs="Arial"/>
                    </w:rPr>
                    <w:t>0.64</w:t>
                  </w:r>
                </w:p>
              </w:tc>
              <w:tc>
                <w:tcPr>
                  <w:tcW w:w="705" w:type="pct"/>
                  <w:tcBorders>
                    <w:top w:val="single" w:sz="4" w:space="0" w:color="auto"/>
                    <w:left w:val="nil"/>
                    <w:bottom w:val="single" w:sz="4" w:space="0" w:color="auto"/>
                    <w:right w:val="single" w:sz="4" w:space="0" w:color="auto"/>
                  </w:tcBorders>
                  <w:hideMark/>
                </w:tcPr>
                <w:p w14:paraId="6C6CB42F" w14:textId="77777777" w:rsidR="00C7420A" w:rsidRDefault="00C7420A" w:rsidP="00C7420A">
                  <w:pPr>
                    <w:pStyle w:val="TAC"/>
                    <w:rPr>
                      <w:rFonts w:cs="Arial"/>
                    </w:rPr>
                  </w:pPr>
                  <w:r>
                    <w:rPr>
                      <w:rFonts w:cs="Arial"/>
                    </w:rPr>
                    <w:t>4*M1</w:t>
                  </w:r>
                </w:p>
              </w:tc>
            </w:tr>
            <w:tr w:rsidR="00C7420A" w14:paraId="45BB248B" w14:textId="77777777" w:rsidTr="00C7420A">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1578F3FF"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5C353B3A"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770" w:type="pct"/>
                  <w:tcBorders>
                    <w:top w:val="single" w:sz="4" w:space="0" w:color="auto"/>
                    <w:left w:val="nil"/>
                    <w:bottom w:val="single" w:sz="4" w:space="0" w:color="auto"/>
                    <w:right w:val="single" w:sz="4" w:space="0" w:color="auto"/>
                  </w:tcBorders>
                  <w:hideMark/>
                </w:tcPr>
                <w:p w14:paraId="012E05C1" w14:textId="77777777" w:rsidR="00C7420A" w:rsidRDefault="00C7420A" w:rsidP="00C7420A">
                  <w:pPr>
                    <w:pStyle w:val="TAC"/>
                    <w:rPr>
                      <w:rFonts w:cs="Arial"/>
                    </w:rPr>
                  </w:pPr>
                  <w:r>
                    <w:rPr>
                      <w:rFonts w:cs="Arial"/>
                    </w:rPr>
                    <w:t>1.28</w:t>
                  </w:r>
                </w:p>
              </w:tc>
              <w:tc>
                <w:tcPr>
                  <w:tcW w:w="705" w:type="pct"/>
                  <w:tcBorders>
                    <w:top w:val="single" w:sz="4" w:space="0" w:color="auto"/>
                    <w:left w:val="nil"/>
                    <w:bottom w:val="single" w:sz="4" w:space="0" w:color="auto"/>
                    <w:right w:val="single" w:sz="4" w:space="0" w:color="auto"/>
                  </w:tcBorders>
                  <w:hideMark/>
                </w:tcPr>
                <w:p w14:paraId="5D9F5CE2" w14:textId="77777777" w:rsidR="00C7420A" w:rsidRDefault="00C7420A" w:rsidP="00C7420A">
                  <w:pPr>
                    <w:pStyle w:val="TAC"/>
                    <w:rPr>
                      <w:rFonts w:cs="Arial"/>
                    </w:rPr>
                  </w:pPr>
                  <w:r>
                    <w:rPr>
                      <w:rFonts w:cs="Arial"/>
                    </w:rPr>
                    <w:t>2</w:t>
                  </w:r>
                </w:p>
              </w:tc>
            </w:tr>
            <w:tr w:rsidR="00C7420A" w14:paraId="322205D4" w14:textId="77777777" w:rsidTr="00C7420A">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3775B0A7"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3906CD70"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770" w:type="pct"/>
                  <w:tcBorders>
                    <w:top w:val="single" w:sz="4" w:space="0" w:color="auto"/>
                    <w:left w:val="nil"/>
                    <w:bottom w:val="single" w:sz="4" w:space="0" w:color="auto"/>
                    <w:right w:val="single" w:sz="4" w:space="0" w:color="auto"/>
                  </w:tcBorders>
                  <w:hideMark/>
                </w:tcPr>
                <w:p w14:paraId="55040233" w14:textId="77777777" w:rsidR="00C7420A" w:rsidRDefault="00C7420A" w:rsidP="00C7420A">
                  <w:pPr>
                    <w:pStyle w:val="TAC"/>
                    <w:rPr>
                      <w:rFonts w:cs="Arial"/>
                    </w:rPr>
                  </w:pPr>
                  <w:r>
                    <w:rPr>
                      <w:rFonts w:cs="Arial"/>
                    </w:rPr>
                    <w:t>2.56</w:t>
                  </w:r>
                </w:p>
              </w:tc>
              <w:tc>
                <w:tcPr>
                  <w:tcW w:w="705" w:type="pct"/>
                  <w:tcBorders>
                    <w:top w:val="single" w:sz="4" w:space="0" w:color="auto"/>
                    <w:left w:val="nil"/>
                    <w:bottom w:val="single" w:sz="4" w:space="0" w:color="auto"/>
                    <w:right w:val="single" w:sz="4" w:space="0" w:color="auto"/>
                  </w:tcBorders>
                  <w:hideMark/>
                </w:tcPr>
                <w:p w14:paraId="15D5476E" w14:textId="77777777" w:rsidR="00C7420A" w:rsidRDefault="00C7420A" w:rsidP="00C7420A">
                  <w:pPr>
                    <w:pStyle w:val="TAC"/>
                    <w:rPr>
                      <w:rFonts w:cs="Arial"/>
                    </w:rPr>
                  </w:pPr>
                  <w:r>
                    <w:rPr>
                      <w:rFonts w:cs="Arial"/>
                    </w:rPr>
                    <w:t>2</w:t>
                  </w:r>
                </w:p>
              </w:tc>
            </w:tr>
            <w:tr w:rsidR="00C7420A" w14:paraId="5F92C88B" w14:textId="77777777" w:rsidTr="00C7420A">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5E4658B3"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4BC5BE31"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770" w:type="pct"/>
                  <w:tcBorders>
                    <w:top w:val="single" w:sz="4" w:space="0" w:color="auto"/>
                    <w:left w:val="nil"/>
                    <w:bottom w:val="single" w:sz="4" w:space="0" w:color="auto"/>
                    <w:right w:val="single" w:sz="4" w:space="0" w:color="auto"/>
                  </w:tcBorders>
                  <w:hideMark/>
                </w:tcPr>
                <w:p w14:paraId="7C1E3E9B" w14:textId="77777777" w:rsidR="00C7420A" w:rsidRDefault="00C7420A" w:rsidP="00C7420A">
                  <w:pPr>
                    <w:pStyle w:val="TAC"/>
                    <w:rPr>
                      <w:rFonts w:cs="Arial"/>
                    </w:rPr>
                  </w:pPr>
                  <w:r>
                    <w:rPr>
                      <w:rFonts w:cs="Arial"/>
                    </w:rPr>
                    <w:t>5.12</w:t>
                  </w:r>
                </w:p>
              </w:tc>
              <w:tc>
                <w:tcPr>
                  <w:tcW w:w="705" w:type="pct"/>
                  <w:tcBorders>
                    <w:top w:val="single" w:sz="4" w:space="0" w:color="auto"/>
                    <w:left w:val="nil"/>
                    <w:bottom w:val="single" w:sz="4" w:space="0" w:color="auto"/>
                    <w:right w:val="single" w:sz="4" w:space="0" w:color="auto"/>
                  </w:tcBorders>
                  <w:hideMark/>
                </w:tcPr>
                <w:p w14:paraId="2F54B439" w14:textId="77777777" w:rsidR="00C7420A" w:rsidRDefault="00C7420A" w:rsidP="00C7420A">
                  <w:pPr>
                    <w:pStyle w:val="TAC"/>
                    <w:rPr>
                      <w:rFonts w:cs="Arial"/>
                    </w:rPr>
                  </w:pPr>
                  <w:r>
                    <w:rPr>
                      <w:rFonts w:cs="Arial"/>
                    </w:rPr>
                    <w:t>2</w:t>
                  </w:r>
                </w:p>
              </w:tc>
            </w:tr>
            <w:tr w:rsidR="00C7420A" w14:paraId="7EAE6E9C" w14:textId="77777777" w:rsidTr="00C7420A">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1D247489"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1A975ECC" w14:textId="77777777" w:rsidR="00C7420A" w:rsidRDefault="00C7420A" w:rsidP="00C7420A">
                  <w:pPr>
                    <w:overflowPunct/>
                    <w:autoSpaceDE/>
                    <w:autoSpaceDN/>
                    <w:adjustRightInd/>
                    <w:spacing w:before="0" w:beforeAutospacing="0" w:after="0"/>
                    <w:textAlignment w:val="auto"/>
                    <w:rPr>
                      <w:rFonts w:ascii="Arial" w:hAnsi="Arial" w:cs="Arial"/>
                      <w:sz w:val="18"/>
                      <w:szCs w:val="18"/>
                    </w:rPr>
                  </w:pPr>
                </w:p>
              </w:tc>
              <w:tc>
                <w:tcPr>
                  <w:tcW w:w="770" w:type="pct"/>
                  <w:tcBorders>
                    <w:top w:val="single" w:sz="4" w:space="0" w:color="auto"/>
                    <w:left w:val="nil"/>
                    <w:bottom w:val="single" w:sz="4" w:space="0" w:color="auto"/>
                    <w:right w:val="single" w:sz="4" w:space="0" w:color="auto"/>
                  </w:tcBorders>
                  <w:hideMark/>
                </w:tcPr>
                <w:p w14:paraId="3C1C8656" w14:textId="77777777" w:rsidR="00C7420A" w:rsidRDefault="00C7420A" w:rsidP="00C7420A">
                  <w:pPr>
                    <w:pStyle w:val="TAC"/>
                    <w:rPr>
                      <w:rFonts w:cs="Arial"/>
                    </w:rPr>
                  </w:pPr>
                  <w:r>
                    <w:rPr>
                      <w:rFonts w:cs="Arial"/>
                    </w:rPr>
                    <w:t xml:space="preserve">10.24 </w:t>
                  </w:r>
                </w:p>
              </w:tc>
              <w:tc>
                <w:tcPr>
                  <w:tcW w:w="705" w:type="pct"/>
                  <w:tcBorders>
                    <w:top w:val="single" w:sz="4" w:space="0" w:color="auto"/>
                    <w:left w:val="nil"/>
                    <w:bottom w:val="single" w:sz="4" w:space="0" w:color="auto"/>
                    <w:right w:val="single" w:sz="4" w:space="0" w:color="auto"/>
                  </w:tcBorders>
                  <w:hideMark/>
                </w:tcPr>
                <w:p w14:paraId="2D5A5CFF" w14:textId="77777777" w:rsidR="00C7420A" w:rsidRDefault="00C7420A" w:rsidP="00C7420A">
                  <w:pPr>
                    <w:pStyle w:val="TAC"/>
                    <w:rPr>
                      <w:rFonts w:cs="Arial"/>
                    </w:rPr>
                  </w:pPr>
                  <w:r>
                    <w:rPr>
                      <w:rFonts w:cs="Arial"/>
                    </w:rPr>
                    <w:t>2</w:t>
                  </w:r>
                </w:p>
              </w:tc>
            </w:tr>
            <w:tr w:rsidR="00C7420A" w14:paraId="0F3FE458" w14:textId="77777777" w:rsidTr="00C7420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4D65DEC" w14:textId="77777777" w:rsidR="00C7420A" w:rsidRDefault="00C7420A" w:rsidP="00C7420A">
                  <w:pPr>
                    <w:pStyle w:val="TAC"/>
                    <w:jc w:val="left"/>
                    <w:rPr>
                      <w:rFonts w:cs="v4.2.0"/>
                    </w:rPr>
                  </w:pPr>
                  <w:r>
                    <w:t xml:space="preserve">Note1: </w:t>
                  </w:r>
                  <w:r>
                    <w:rPr>
                      <w:rFonts w:cs="v4.2.0"/>
                    </w:rPr>
                    <w:t xml:space="preserve">T is </w:t>
                  </w:r>
                  <w:proofErr w:type="spellStart"/>
                  <w:r>
                    <w:rPr>
                      <w:rFonts w:cs="v4.2.0"/>
                    </w:rPr>
                    <w:t>dertermined</w:t>
                  </w:r>
                  <w:proofErr w:type="spellEnd"/>
                  <w:r>
                    <w:rPr>
                      <w:rFonts w:cs="v4.2.0"/>
                    </w:rPr>
                    <w:t xml:space="preserve"> according to clause 7.1 in [1].</w:t>
                  </w:r>
                </w:p>
                <w:p w14:paraId="2EDDD4F7" w14:textId="77777777" w:rsidR="00C7420A" w:rsidRDefault="00C7420A" w:rsidP="00C7420A">
                  <w:pPr>
                    <w:pStyle w:val="TAC"/>
                    <w:jc w:val="left"/>
                  </w:pPr>
                  <w:r>
                    <w:t xml:space="preserve">Note2: </w:t>
                  </w:r>
                  <w:r>
                    <w:rPr>
                      <w:rFonts w:cs="v4.2.0"/>
                    </w:rPr>
                    <w:t>M1=2 if SMTC periodicity (T</w:t>
                  </w:r>
                  <w:r>
                    <w:rPr>
                      <w:rFonts w:cs="v4.2.0"/>
                      <w:vertAlign w:val="subscript"/>
                    </w:rPr>
                    <w:t>SMTC</w:t>
                  </w:r>
                  <w:r>
                    <w:rPr>
                      <w:rFonts w:cs="v4.2.0"/>
                    </w:rPr>
                    <w:t xml:space="preserve">) </w:t>
                  </w:r>
                  <w:r>
                    <w:t>&gt;</w:t>
                  </w:r>
                  <w:r>
                    <w:rPr>
                      <w:rFonts w:cs="v4.2.0"/>
                    </w:rPr>
                    <w:t xml:space="preserve"> 20 </w:t>
                  </w:r>
                  <w:proofErr w:type="spellStart"/>
                  <w:r>
                    <w:rPr>
                      <w:rFonts w:cs="v4.2.0"/>
                    </w:rPr>
                    <w:t>ms</w:t>
                  </w:r>
                  <w:proofErr w:type="spellEnd"/>
                  <w:r>
                    <w:rPr>
                      <w:rFonts w:cs="v4.2.0"/>
                    </w:rPr>
                    <w:t xml:space="preserve"> and DRX cycle </w:t>
                  </w:r>
                  <w:r>
                    <w:rPr>
                      <w:rFonts w:ascii="Times New Roman" w:hAnsi="Times New Roman"/>
                    </w:rPr>
                    <w:t>≤</w:t>
                  </w:r>
                  <w:r>
                    <w:rPr>
                      <w:rFonts w:cs="v4.2.0"/>
                    </w:rPr>
                    <w:t xml:space="preserve"> 0.64 second.</w:t>
                  </w:r>
                </w:p>
              </w:tc>
            </w:tr>
          </w:tbl>
          <w:p w14:paraId="51C4E85F" w14:textId="77777777" w:rsidR="00C7420A" w:rsidRDefault="00C7420A" w:rsidP="00527772">
            <w:pPr>
              <w:tabs>
                <w:tab w:val="left" w:pos="990"/>
              </w:tabs>
              <w:spacing w:after="120"/>
              <w:jc w:val="both"/>
            </w:pPr>
          </w:p>
        </w:tc>
      </w:tr>
    </w:tbl>
    <w:p w14:paraId="3645EA6C" w14:textId="4C4A927A" w:rsidR="00527772" w:rsidRDefault="005E1A5E" w:rsidP="00527772">
      <w:pPr>
        <w:tabs>
          <w:tab w:val="left" w:pos="990"/>
        </w:tabs>
        <w:spacing w:after="120"/>
        <w:jc w:val="both"/>
      </w:pPr>
      <w:r>
        <w:t xml:space="preserve">Thus, the TA validation window length for </w:t>
      </w:r>
      <w:proofErr w:type="spellStart"/>
      <w:r>
        <w:t>RedCap</w:t>
      </w:r>
      <w:proofErr w:type="spellEnd"/>
      <w:r>
        <w:t xml:space="preserve"> UE shall be </w:t>
      </w:r>
      <w:proofErr w:type="gramStart"/>
      <w:r w:rsidRPr="005E1A5E">
        <w:t>min(</w:t>
      </w:r>
      <w:proofErr w:type="gramEnd"/>
      <w:r w:rsidRPr="005E1A5E">
        <w:t xml:space="preserve">640ms, </w:t>
      </w:r>
      <w:r>
        <w:t>M1*T</w:t>
      </w:r>
      <w:r w:rsidRPr="005E1A5E">
        <w:t>)</w:t>
      </w:r>
      <w:r w:rsidR="004D4E7B">
        <w:t xml:space="preserve"> in Inactive mode.</w:t>
      </w:r>
    </w:p>
    <w:p w14:paraId="31B2CB72" w14:textId="3F2C750A" w:rsidR="004D4E7B" w:rsidRPr="00103627" w:rsidRDefault="004D4E7B" w:rsidP="00103627">
      <w:pPr>
        <w:tabs>
          <w:tab w:val="left" w:pos="990"/>
        </w:tabs>
        <w:spacing w:after="120"/>
        <w:jc w:val="both"/>
        <w:rPr>
          <w:b/>
          <w:bCs/>
          <w:i/>
          <w:iCs/>
        </w:rPr>
      </w:pPr>
      <w:r w:rsidRPr="00470558">
        <w:rPr>
          <w:b/>
          <w:bCs/>
          <w:i/>
          <w:iCs/>
        </w:rPr>
        <w:lastRenderedPageBreak/>
        <w:t xml:space="preserve">Proposal 1: </w:t>
      </w:r>
      <w:r w:rsidR="00470558">
        <w:rPr>
          <w:b/>
          <w:bCs/>
          <w:i/>
          <w:iCs/>
        </w:rPr>
        <w:t>F</w:t>
      </w:r>
      <w:r w:rsidRPr="00470558">
        <w:rPr>
          <w:b/>
          <w:bCs/>
          <w:i/>
          <w:iCs/>
        </w:rPr>
        <w:t xml:space="preserve">or UE configured with </w:t>
      </w:r>
      <w:proofErr w:type="spellStart"/>
      <w:r w:rsidRPr="00470558">
        <w:rPr>
          <w:b/>
          <w:bCs/>
          <w:i/>
          <w:iCs/>
        </w:rPr>
        <w:t>eDRX</w:t>
      </w:r>
      <w:proofErr w:type="spellEnd"/>
      <w:r w:rsidRPr="00470558">
        <w:rPr>
          <w:b/>
          <w:bCs/>
          <w:i/>
          <w:iCs/>
        </w:rPr>
        <w:t xml:space="preserve"> in RRC_INACTIVE state</w:t>
      </w:r>
      <w:r w:rsidR="00103627">
        <w:rPr>
          <w:b/>
          <w:bCs/>
          <w:i/>
          <w:iCs/>
        </w:rPr>
        <w:t xml:space="preserve"> in FR1</w:t>
      </w:r>
      <w:r w:rsidRPr="00470558">
        <w:rPr>
          <w:b/>
          <w:bCs/>
          <w:i/>
          <w:iCs/>
        </w:rPr>
        <w:t xml:space="preserve">, the TA validation requirements for </w:t>
      </w:r>
      <w:proofErr w:type="spellStart"/>
      <w:r w:rsidRPr="00470558">
        <w:rPr>
          <w:b/>
          <w:bCs/>
          <w:i/>
          <w:iCs/>
        </w:rPr>
        <w:t>RedCap</w:t>
      </w:r>
      <w:proofErr w:type="spellEnd"/>
      <w:r w:rsidRPr="00470558">
        <w:rPr>
          <w:b/>
          <w:bCs/>
          <w:i/>
          <w:iCs/>
        </w:rPr>
        <w:t xml:space="preserve"> CG-SDT </w:t>
      </w:r>
      <w:r w:rsidR="00103627">
        <w:rPr>
          <w:b/>
          <w:bCs/>
          <w:i/>
          <w:iCs/>
        </w:rPr>
        <w:t>shall be revised</w:t>
      </w:r>
      <w:r w:rsidR="00470558">
        <w:rPr>
          <w:b/>
          <w:bCs/>
          <w:i/>
          <w:iCs/>
        </w:rPr>
        <w:t xml:space="preserve"> as</w:t>
      </w:r>
      <w:r w:rsidRPr="00470558">
        <w:rPr>
          <w:b/>
          <w:bCs/>
          <w:i/>
          <w:iCs/>
        </w:rPr>
        <w:t>,</w:t>
      </w:r>
    </w:p>
    <w:tbl>
      <w:tblPr>
        <w:tblStyle w:val="TableGrid"/>
        <w:tblW w:w="0" w:type="auto"/>
        <w:tblLook w:val="04A0" w:firstRow="1" w:lastRow="0" w:firstColumn="1" w:lastColumn="0" w:noHBand="0" w:noVBand="1"/>
      </w:tblPr>
      <w:tblGrid>
        <w:gridCol w:w="1838"/>
        <w:gridCol w:w="7791"/>
      </w:tblGrid>
      <w:tr w:rsidR="004D4E7B" w:rsidRPr="00470558" w14:paraId="73CFA345" w14:textId="77777777" w:rsidTr="004D4E7B">
        <w:trPr>
          <w:trHeight w:val="20"/>
        </w:trPr>
        <w:tc>
          <w:tcPr>
            <w:tcW w:w="1838" w:type="dxa"/>
            <w:tcBorders>
              <w:top w:val="single" w:sz="4" w:space="0" w:color="auto"/>
              <w:left w:val="single" w:sz="4" w:space="0" w:color="auto"/>
              <w:bottom w:val="single" w:sz="4" w:space="0" w:color="auto"/>
              <w:right w:val="single" w:sz="4" w:space="0" w:color="auto"/>
            </w:tcBorders>
            <w:hideMark/>
          </w:tcPr>
          <w:p w14:paraId="19E45AB5" w14:textId="77777777" w:rsidR="004D4E7B" w:rsidRPr="00470558" w:rsidRDefault="004D4E7B" w:rsidP="004D4E7B">
            <w:pPr>
              <w:pStyle w:val="TAH"/>
              <w:spacing w:before="0" w:beforeAutospacing="0" w:after="0"/>
              <w:rPr>
                <w:rFonts w:ascii="Times New Roman" w:hAnsi="Times New Roman"/>
                <w:bCs/>
                <w:i/>
                <w:iCs/>
                <w:sz w:val="24"/>
              </w:rPr>
            </w:pPr>
            <w:r w:rsidRPr="00470558">
              <w:rPr>
                <w:rFonts w:ascii="Times New Roman" w:hAnsi="Times New Roman"/>
                <w:bCs/>
                <w:i/>
                <w:iCs/>
                <w:sz w:val="24"/>
              </w:rPr>
              <w:t>Measurement</w:t>
            </w:r>
          </w:p>
        </w:tc>
        <w:tc>
          <w:tcPr>
            <w:tcW w:w="7791" w:type="dxa"/>
            <w:tcBorders>
              <w:top w:val="single" w:sz="4" w:space="0" w:color="auto"/>
              <w:left w:val="single" w:sz="4" w:space="0" w:color="auto"/>
              <w:bottom w:val="single" w:sz="4" w:space="0" w:color="auto"/>
              <w:right w:val="single" w:sz="4" w:space="0" w:color="auto"/>
            </w:tcBorders>
            <w:hideMark/>
          </w:tcPr>
          <w:p w14:paraId="68788D3F" w14:textId="77777777" w:rsidR="004D4E7B" w:rsidRPr="00470558" w:rsidRDefault="004D4E7B" w:rsidP="004D4E7B">
            <w:pPr>
              <w:pStyle w:val="TAH"/>
              <w:spacing w:before="0" w:beforeAutospacing="0" w:after="0"/>
              <w:rPr>
                <w:rFonts w:ascii="Times New Roman" w:hAnsi="Times New Roman"/>
                <w:bCs/>
                <w:i/>
                <w:iCs/>
                <w:sz w:val="24"/>
              </w:rPr>
            </w:pPr>
            <w:r w:rsidRPr="00470558">
              <w:rPr>
                <w:rFonts w:ascii="Times New Roman" w:hAnsi="Times New Roman"/>
                <w:bCs/>
                <w:i/>
                <w:iCs/>
                <w:sz w:val="24"/>
              </w:rPr>
              <w:t>FR1</w:t>
            </w:r>
          </w:p>
        </w:tc>
      </w:tr>
      <w:tr w:rsidR="004D4E7B" w:rsidRPr="00470558" w14:paraId="6EF4E38A" w14:textId="77777777" w:rsidTr="004D4E7B">
        <w:trPr>
          <w:trHeight w:val="20"/>
        </w:trPr>
        <w:tc>
          <w:tcPr>
            <w:tcW w:w="1838" w:type="dxa"/>
            <w:tcBorders>
              <w:top w:val="single" w:sz="4" w:space="0" w:color="auto"/>
              <w:left w:val="single" w:sz="4" w:space="0" w:color="auto"/>
              <w:bottom w:val="single" w:sz="4" w:space="0" w:color="auto"/>
              <w:right w:val="single" w:sz="4" w:space="0" w:color="auto"/>
            </w:tcBorders>
            <w:hideMark/>
          </w:tcPr>
          <w:p w14:paraId="7FB771CB" w14:textId="77777777" w:rsidR="004D4E7B" w:rsidRPr="00470558" w:rsidRDefault="004D4E7B" w:rsidP="004D4E7B">
            <w:pPr>
              <w:pStyle w:val="TAC"/>
              <w:spacing w:before="0" w:beforeAutospacing="0" w:after="0"/>
              <w:rPr>
                <w:rFonts w:ascii="Times New Roman" w:hAnsi="Times New Roman"/>
                <w:b/>
                <w:bCs/>
                <w:i/>
                <w:iCs/>
                <w:sz w:val="24"/>
              </w:rPr>
            </w:pPr>
            <w:r w:rsidRPr="00470558">
              <w:rPr>
                <w:rFonts w:ascii="Times New Roman" w:hAnsi="Times New Roman"/>
                <w:b/>
                <w:bCs/>
                <w:i/>
                <w:iCs/>
                <w:sz w:val="24"/>
              </w:rPr>
              <w:t>RSRP</w:t>
            </w:r>
            <w:r w:rsidRPr="00470558">
              <w:rPr>
                <w:rFonts w:ascii="Times New Roman" w:hAnsi="Times New Roman"/>
                <w:b/>
                <w:bCs/>
                <w:i/>
                <w:iCs/>
                <w:sz w:val="24"/>
                <w:vertAlign w:val="subscript"/>
              </w:rPr>
              <w:t>1</w:t>
            </w:r>
          </w:p>
        </w:tc>
        <w:tc>
          <w:tcPr>
            <w:tcW w:w="7791" w:type="dxa"/>
            <w:tcBorders>
              <w:top w:val="single" w:sz="4" w:space="0" w:color="auto"/>
              <w:left w:val="single" w:sz="4" w:space="0" w:color="auto"/>
              <w:bottom w:val="single" w:sz="4" w:space="0" w:color="auto"/>
              <w:right w:val="single" w:sz="4" w:space="0" w:color="auto"/>
            </w:tcBorders>
            <w:hideMark/>
          </w:tcPr>
          <w:p w14:paraId="3B956FF5" w14:textId="073518C2" w:rsidR="004D4E7B" w:rsidRPr="00470558" w:rsidRDefault="004D4E7B" w:rsidP="004D4E7B">
            <w:pPr>
              <w:pStyle w:val="TAC"/>
              <w:spacing w:before="0" w:beforeAutospacing="0" w:after="0"/>
              <w:rPr>
                <w:rFonts w:ascii="Times New Roman" w:hAnsi="Times New Roman"/>
                <w:b/>
                <w:bCs/>
                <w:i/>
                <w:iCs/>
                <w:sz w:val="24"/>
              </w:rPr>
            </w:pPr>
            <w:r w:rsidRPr="00470558">
              <w:rPr>
                <w:rFonts w:ascii="Times New Roman" w:hAnsi="Times New Roman"/>
                <w:b/>
                <w:bCs/>
                <w:i/>
                <w:iCs/>
                <w:sz w:val="24"/>
              </w:rPr>
              <w:t xml:space="preserve">(T1 – </w:t>
            </w:r>
            <w:proofErr w:type="gramStart"/>
            <w:r w:rsidRPr="00470558">
              <w:rPr>
                <w:rFonts w:ascii="Times New Roman" w:hAnsi="Times New Roman"/>
                <w:b/>
                <w:bCs/>
                <w:i/>
                <w:iCs/>
                <w:sz w:val="24"/>
              </w:rPr>
              <w:t>min(</w:t>
            </w:r>
            <w:proofErr w:type="gramEnd"/>
            <w:r w:rsidRPr="00470558">
              <w:rPr>
                <w:rFonts w:ascii="Times New Roman" w:hAnsi="Times New Roman"/>
                <w:b/>
                <w:bCs/>
                <w:i/>
                <w:iCs/>
                <w:sz w:val="24"/>
              </w:rPr>
              <w:t>640ms, M1*T)) ≤ T1’ ≤ (T1 + min(640ms, M1*T))</w:t>
            </w:r>
          </w:p>
        </w:tc>
      </w:tr>
      <w:tr w:rsidR="004D4E7B" w:rsidRPr="00470558" w14:paraId="30D2EDC0" w14:textId="77777777" w:rsidTr="004D4E7B">
        <w:trPr>
          <w:trHeight w:val="20"/>
        </w:trPr>
        <w:tc>
          <w:tcPr>
            <w:tcW w:w="1838" w:type="dxa"/>
            <w:tcBorders>
              <w:top w:val="single" w:sz="4" w:space="0" w:color="auto"/>
              <w:left w:val="single" w:sz="4" w:space="0" w:color="auto"/>
              <w:bottom w:val="single" w:sz="4" w:space="0" w:color="auto"/>
              <w:right w:val="single" w:sz="4" w:space="0" w:color="auto"/>
            </w:tcBorders>
            <w:hideMark/>
          </w:tcPr>
          <w:p w14:paraId="43CA27A8" w14:textId="77777777" w:rsidR="004D4E7B" w:rsidRPr="00470558" w:rsidRDefault="004D4E7B" w:rsidP="004D4E7B">
            <w:pPr>
              <w:pStyle w:val="TAC"/>
              <w:spacing w:before="0" w:beforeAutospacing="0" w:after="0"/>
              <w:rPr>
                <w:rFonts w:ascii="Times New Roman" w:hAnsi="Times New Roman"/>
                <w:b/>
                <w:bCs/>
                <w:i/>
                <w:iCs/>
                <w:sz w:val="24"/>
              </w:rPr>
            </w:pPr>
            <w:r w:rsidRPr="00470558">
              <w:rPr>
                <w:rFonts w:ascii="Times New Roman" w:hAnsi="Times New Roman"/>
                <w:b/>
                <w:bCs/>
                <w:i/>
                <w:iCs/>
                <w:sz w:val="24"/>
              </w:rPr>
              <w:t>RSRP</w:t>
            </w:r>
            <w:r w:rsidRPr="00470558">
              <w:rPr>
                <w:rFonts w:ascii="Times New Roman" w:hAnsi="Times New Roman"/>
                <w:b/>
                <w:bCs/>
                <w:i/>
                <w:iCs/>
                <w:sz w:val="24"/>
                <w:vertAlign w:val="subscript"/>
              </w:rPr>
              <w:t>2</w:t>
            </w:r>
          </w:p>
        </w:tc>
        <w:tc>
          <w:tcPr>
            <w:tcW w:w="7791" w:type="dxa"/>
            <w:tcBorders>
              <w:top w:val="single" w:sz="4" w:space="0" w:color="auto"/>
              <w:left w:val="single" w:sz="4" w:space="0" w:color="auto"/>
              <w:bottom w:val="single" w:sz="4" w:space="0" w:color="auto"/>
              <w:right w:val="single" w:sz="4" w:space="0" w:color="auto"/>
            </w:tcBorders>
            <w:hideMark/>
          </w:tcPr>
          <w:p w14:paraId="3D60420E" w14:textId="1B037676" w:rsidR="004D4E7B" w:rsidRPr="00470558" w:rsidRDefault="004D4E7B" w:rsidP="004D4E7B">
            <w:pPr>
              <w:pStyle w:val="TAC"/>
              <w:spacing w:before="0" w:beforeAutospacing="0" w:after="0"/>
              <w:rPr>
                <w:rFonts w:ascii="Times New Roman" w:hAnsi="Times New Roman"/>
                <w:b/>
                <w:bCs/>
                <w:i/>
                <w:iCs/>
                <w:sz w:val="24"/>
              </w:rPr>
            </w:pPr>
            <w:r w:rsidRPr="00470558">
              <w:rPr>
                <w:rFonts w:ascii="Times New Roman" w:hAnsi="Times New Roman"/>
                <w:b/>
                <w:bCs/>
                <w:i/>
                <w:iCs/>
                <w:sz w:val="24"/>
              </w:rPr>
              <w:t xml:space="preserve">(T2 – </w:t>
            </w:r>
            <w:proofErr w:type="gramStart"/>
            <w:r w:rsidRPr="00470558">
              <w:rPr>
                <w:rFonts w:ascii="Times New Roman" w:hAnsi="Times New Roman"/>
                <w:b/>
                <w:bCs/>
                <w:i/>
                <w:iCs/>
                <w:sz w:val="24"/>
              </w:rPr>
              <w:t>min(</w:t>
            </w:r>
            <w:proofErr w:type="gramEnd"/>
            <w:r w:rsidRPr="00470558">
              <w:rPr>
                <w:rFonts w:ascii="Times New Roman" w:hAnsi="Times New Roman"/>
                <w:b/>
                <w:bCs/>
                <w:i/>
                <w:iCs/>
                <w:sz w:val="24"/>
              </w:rPr>
              <w:t>640ms, M1*T)) ≤ T2’ ≤ T2</w:t>
            </w:r>
          </w:p>
        </w:tc>
      </w:tr>
      <w:tr w:rsidR="004D4E7B" w:rsidRPr="00470558" w14:paraId="26430725" w14:textId="77777777" w:rsidTr="004D4E7B">
        <w:trPr>
          <w:trHeight w:val="20"/>
        </w:trPr>
        <w:tc>
          <w:tcPr>
            <w:tcW w:w="9629" w:type="dxa"/>
            <w:gridSpan w:val="2"/>
            <w:tcBorders>
              <w:top w:val="single" w:sz="4" w:space="0" w:color="auto"/>
              <w:left w:val="single" w:sz="4" w:space="0" w:color="auto"/>
              <w:bottom w:val="single" w:sz="4" w:space="0" w:color="auto"/>
              <w:right w:val="single" w:sz="4" w:space="0" w:color="auto"/>
            </w:tcBorders>
          </w:tcPr>
          <w:p w14:paraId="178A0DE0" w14:textId="12456CE7" w:rsidR="004D4E7B" w:rsidRPr="00470558" w:rsidRDefault="004D4E7B" w:rsidP="004D4E7B">
            <w:pPr>
              <w:pStyle w:val="TAC"/>
              <w:spacing w:before="0" w:beforeAutospacing="0" w:after="0"/>
              <w:jc w:val="left"/>
              <w:rPr>
                <w:rFonts w:ascii="Times New Roman" w:hAnsi="Times New Roman"/>
                <w:b/>
                <w:bCs/>
                <w:i/>
                <w:iCs/>
                <w:sz w:val="24"/>
              </w:rPr>
            </w:pPr>
            <w:r w:rsidRPr="00470558">
              <w:rPr>
                <w:rFonts w:ascii="Times New Roman" w:hAnsi="Times New Roman"/>
                <w:b/>
                <w:bCs/>
                <w:i/>
                <w:iCs/>
                <w:sz w:val="24"/>
              </w:rPr>
              <w:t>Note: T is as defined in table 5.1B.2.2-1</w:t>
            </w:r>
          </w:p>
        </w:tc>
      </w:tr>
    </w:tbl>
    <w:p w14:paraId="4686B4A1" w14:textId="77777777" w:rsidR="00103627" w:rsidRDefault="00103627" w:rsidP="007B2D27">
      <w:pPr>
        <w:rPr>
          <w:b/>
          <w:color w:val="000000" w:themeColor="text1"/>
          <w:u w:val="single"/>
          <w:lang w:eastAsia="ko-KR"/>
        </w:rPr>
      </w:pPr>
    </w:p>
    <w:p w14:paraId="21E5499B" w14:textId="77777777" w:rsidR="00103627" w:rsidRPr="00103627" w:rsidRDefault="00103627" w:rsidP="00103627">
      <w:pPr>
        <w:spacing w:after="120"/>
        <w:rPr>
          <w:b/>
          <w:u w:val="single"/>
          <w:lang w:eastAsia="ko-KR"/>
        </w:rPr>
      </w:pPr>
      <w:r w:rsidRPr="00103627">
        <w:rPr>
          <w:b/>
          <w:u w:val="single"/>
          <w:lang w:eastAsia="ko-KR"/>
        </w:rPr>
        <w:t>Requirements for HO to a BWP which has different SSB with the one used for measurement</w:t>
      </w:r>
    </w:p>
    <w:p w14:paraId="15E0B072" w14:textId="497BB1D7" w:rsidR="00103627" w:rsidRDefault="00103627" w:rsidP="00103627">
      <w:pPr>
        <w:spacing w:after="120"/>
        <w:jc w:val="both"/>
        <w:rPr>
          <w:bCs/>
          <w:lang w:eastAsia="ko-KR"/>
        </w:rPr>
      </w:pPr>
      <w:r w:rsidRPr="00103627">
        <w:rPr>
          <w:bCs/>
          <w:lang w:eastAsia="ko-KR"/>
        </w:rPr>
        <w:t>In our view,</w:t>
      </w:r>
      <w:r>
        <w:rPr>
          <w:bCs/>
          <w:lang w:eastAsia="ko-KR"/>
        </w:rPr>
        <w:t xml:space="preserve"> the CD-SSB and NCD-SSB of same cell shall carry the same information and can provide the same timing of target cell during HO. However, some companies commented that if CD-SSB and NCD-SSB has large frequency domain or time domain separation, UE may need to acquire the timing again for the target SSB of HO. We supported option 1 of “</w:t>
      </w:r>
      <w:r w:rsidRPr="00103627">
        <w:rPr>
          <w:bCs/>
          <w:lang w:eastAsia="ko-KR"/>
        </w:rPr>
        <w:t>No additional delay is needed when UE handover to a BWP which has different SSB type with the one used for measurement</w:t>
      </w:r>
      <w:r>
        <w:rPr>
          <w:bCs/>
          <w:lang w:eastAsia="ko-KR"/>
        </w:rPr>
        <w:t>”, but we can compromise to option 2 as the worst case for minimum requirement. At this late stage of core requirement, we don’t think it’s necessary to differentiate cases with respect of FD/TD separation.</w:t>
      </w:r>
    </w:p>
    <w:p w14:paraId="28997F6F" w14:textId="61595CA1" w:rsidR="00103627" w:rsidRDefault="00103627" w:rsidP="00103627">
      <w:pPr>
        <w:tabs>
          <w:tab w:val="left" w:pos="990"/>
        </w:tabs>
        <w:spacing w:after="120"/>
        <w:jc w:val="both"/>
        <w:rPr>
          <w:b/>
          <w:bCs/>
          <w:i/>
          <w:iCs/>
        </w:rPr>
      </w:pPr>
      <w:r w:rsidRPr="00470558">
        <w:rPr>
          <w:b/>
          <w:bCs/>
          <w:i/>
          <w:iCs/>
        </w:rPr>
        <w:t xml:space="preserve">Proposal </w:t>
      </w:r>
      <w:r>
        <w:rPr>
          <w:b/>
          <w:bCs/>
          <w:i/>
          <w:iCs/>
        </w:rPr>
        <w:t>2</w:t>
      </w:r>
      <w:r w:rsidRPr="00470558">
        <w:rPr>
          <w:b/>
          <w:bCs/>
          <w:i/>
          <w:iCs/>
        </w:rPr>
        <w:t xml:space="preserve">: </w:t>
      </w:r>
      <w:r>
        <w:rPr>
          <w:b/>
          <w:bCs/>
          <w:i/>
          <w:iCs/>
        </w:rPr>
        <w:t xml:space="preserve">compromise to the option 2 for HO </w:t>
      </w:r>
      <w:r w:rsidR="00653284">
        <w:rPr>
          <w:b/>
          <w:bCs/>
          <w:i/>
          <w:iCs/>
        </w:rPr>
        <w:t>requirement</w:t>
      </w:r>
      <w:r>
        <w:rPr>
          <w:b/>
          <w:bCs/>
          <w:i/>
          <w:iCs/>
        </w:rPr>
        <w:t>:</w:t>
      </w:r>
    </w:p>
    <w:p w14:paraId="5808AB82" w14:textId="545940D7" w:rsidR="00103627" w:rsidRDefault="00103627" w:rsidP="00103627">
      <w:pPr>
        <w:tabs>
          <w:tab w:val="left" w:pos="990"/>
        </w:tabs>
        <w:spacing w:after="120"/>
        <w:jc w:val="both"/>
        <w:rPr>
          <w:b/>
          <w:bCs/>
          <w:i/>
          <w:iCs/>
        </w:rPr>
      </w:pPr>
      <w:r w:rsidRPr="00103627">
        <w:rPr>
          <w:b/>
          <w:bCs/>
          <w:i/>
          <w:iCs/>
        </w:rPr>
        <w:t>The scenario when handover is performed to a BWP which has different SSB than the one used during measurement should be considered as handover to an unknown cell. Capture the above condition as a note in the Handover related section in TS38.133</w:t>
      </w:r>
      <w:r>
        <w:rPr>
          <w:b/>
          <w:bCs/>
          <w:i/>
          <w:iCs/>
        </w:rPr>
        <w:t>.</w:t>
      </w:r>
    </w:p>
    <w:p w14:paraId="7F195A2F" w14:textId="77777777" w:rsidR="00103627" w:rsidRPr="00103627" w:rsidRDefault="00103627" w:rsidP="00103627">
      <w:pPr>
        <w:tabs>
          <w:tab w:val="left" w:pos="990"/>
        </w:tabs>
        <w:spacing w:after="120"/>
        <w:jc w:val="both"/>
        <w:rPr>
          <w:b/>
          <w:bCs/>
          <w:i/>
          <w:iCs/>
        </w:rPr>
      </w:pPr>
    </w:p>
    <w:p w14:paraId="04CD1541" w14:textId="1DA0FAFA" w:rsidR="00103627" w:rsidRDefault="00103627" w:rsidP="0073684D">
      <w:pPr>
        <w:spacing w:after="120"/>
        <w:rPr>
          <w:b/>
          <w:u w:val="single"/>
          <w:lang w:eastAsia="ko-KR"/>
        </w:rPr>
      </w:pPr>
      <w:r w:rsidRPr="00103627">
        <w:rPr>
          <w:b/>
          <w:u w:val="single"/>
          <w:lang w:eastAsia="ko-KR"/>
        </w:rPr>
        <w:t>RRC reestablishment</w:t>
      </w:r>
      <w:r>
        <w:rPr>
          <w:b/>
          <w:u w:val="single"/>
          <w:lang w:eastAsia="ko-KR"/>
        </w:rPr>
        <w:t>/redirection</w:t>
      </w:r>
      <w:r w:rsidRPr="00103627">
        <w:rPr>
          <w:b/>
          <w:u w:val="single"/>
          <w:lang w:eastAsia="ko-KR"/>
        </w:rPr>
        <w:t xml:space="preserve"> delay with </w:t>
      </w:r>
      <w:proofErr w:type="spellStart"/>
      <w:r w:rsidRPr="00103627">
        <w:rPr>
          <w:b/>
          <w:u w:val="single"/>
          <w:lang w:eastAsia="ko-KR"/>
        </w:rPr>
        <w:t>RedCap</w:t>
      </w:r>
      <w:proofErr w:type="spellEnd"/>
      <w:r w:rsidRPr="00103627">
        <w:rPr>
          <w:b/>
          <w:u w:val="single"/>
          <w:lang w:eastAsia="ko-KR"/>
        </w:rPr>
        <w:t xml:space="preserve"> specific initial BWP</w:t>
      </w:r>
    </w:p>
    <w:p w14:paraId="43C8FB9F" w14:textId="477FBBF1" w:rsidR="00103627" w:rsidRPr="00103627" w:rsidRDefault="00103627" w:rsidP="00103627">
      <w:pPr>
        <w:spacing w:after="120"/>
        <w:jc w:val="both"/>
        <w:rPr>
          <w:bCs/>
          <w:lang w:eastAsia="ko-KR"/>
        </w:rPr>
      </w:pPr>
      <w:r w:rsidRPr="00103627">
        <w:rPr>
          <w:bCs/>
          <w:lang w:eastAsia="ko-KR"/>
        </w:rPr>
        <w:t>When Redcap specific initial BWP is configured for RA</w:t>
      </w:r>
      <w:r>
        <w:rPr>
          <w:bCs/>
          <w:lang w:eastAsia="ko-KR"/>
        </w:rPr>
        <w:t>, UE needs to change the BWP after DL synchronization and measurement of new cell</w:t>
      </w:r>
      <w:r w:rsidR="00653284">
        <w:rPr>
          <w:bCs/>
          <w:lang w:eastAsia="ko-KR"/>
        </w:rPr>
        <w:t>, since such BWP change can happen among disjoint BWPs in network system BW, we assume the RRC based BWP switching delay shall be used. UE may need AGC re-settling on the new BWP as well as the RF adjustment, so 6ms is a reasonable value for such BWP switching in our view.</w:t>
      </w:r>
    </w:p>
    <w:p w14:paraId="05D9261A" w14:textId="3C4378E9" w:rsidR="00653284" w:rsidRDefault="00653284" w:rsidP="00653284">
      <w:pPr>
        <w:tabs>
          <w:tab w:val="left" w:pos="990"/>
        </w:tabs>
        <w:spacing w:after="120"/>
        <w:jc w:val="both"/>
        <w:rPr>
          <w:b/>
          <w:bCs/>
          <w:i/>
          <w:iCs/>
        </w:rPr>
      </w:pPr>
      <w:r w:rsidRPr="00470558">
        <w:rPr>
          <w:b/>
          <w:bCs/>
          <w:i/>
          <w:iCs/>
        </w:rPr>
        <w:t xml:space="preserve">Proposal </w:t>
      </w:r>
      <w:r>
        <w:rPr>
          <w:b/>
          <w:bCs/>
          <w:i/>
          <w:iCs/>
        </w:rPr>
        <w:t>3</w:t>
      </w:r>
      <w:r w:rsidRPr="00470558">
        <w:rPr>
          <w:b/>
          <w:bCs/>
          <w:i/>
          <w:iCs/>
        </w:rPr>
        <w:t xml:space="preserve">: </w:t>
      </w:r>
    </w:p>
    <w:p w14:paraId="02BECA12" w14:textId="14DDB7DF" w:rsidR="00653284" w:rsidRPr="00653284" w:rsidRDefault="00653284" w:rsidP="00653284">
      <w:pPr>
        <w:spacing w:before="0" w:beforeAutospacing="0" w:after="0"/>
        <w:rPr>
          <w:b/>
          <w:bCs/>
          <w:i/>
          <w:iCs/>
          <w:color w:val="000000" w:themeColor="text1"/>
          <w:lang w:eastAsia="ko-KR"/>
        </w:rPr>
      </w:pPr>
      <w:r w:rsidRPr="00653284">
        <w:rPr>
          <w:b/>
          <w:bCs/>
          <w:i/>
          <w:iCs/>
          <w:color w:val="000000" w:themeColor="text1"/>
          <w:lang w:eastAsia="ko-KR"/>
        </w:rPr>
        <w:t>When the Redcap specific initial BWP is configured for RA, extend RRC reestablishment delay by X=6ms.</w:t>
      </w:r>
    </w:p>
    <w:p w14:paraId="560B18AF" w14:textId="77777777" w:rsidR="00653284" w:rsidRPr="00653284" w:rsidRDefault="00653284" w:rsidP="00653284">
      <w:pPr>
        <w:spacing w:before="0" w:beforeAutospacing="0" w:after="0"/>
        <w:rPr>
          <w:b/>
          <w:bCs/>
          <w:i/>
          <w:iCs/>
          <w:color w:val="000000" w:themeColor="text1"/>
          <w:lang w:eastAsia="ko-KR"/>
        </w:rPr>
      </w:pPr>
    </w:p>
    <w:p w14:paraId="68C54A6C" w14:textId="71DCBB8A" w:rsidR="00103627" w:rsidRDefault="00653284" w:rsidP="00653284">
      <w:pPr>
        <w:spacing w:before="0" w:beforeAutospacing="0" w:after="0"/>
        <w:rPr>
          <w:b/>
          <w:bCs/>
          <w:i/>
          <w:iCs/>
          <w:color w:val="000000" w:themeColor="text1"/>
          <w:lang w:eastAsia="ko-KR"/>
        </w:rPr>
      </w:pPr>
      <w:r w:rsidRPr="00653284">
        <w:rPr>
          <w:b/>
          <w:bCs/>
          <w:i/>
          <w:iCs/>
          <w:color w:val="000000" w:themeColor="text1"/>
          <w:lang w:eastAsia="ko-KR"/>
        </w:rPr>
        <w:t>When the Redcap specific initial BWP is configured for RA, extend RRC connection release with re-direction delay by X=6ms.</w:t>
      </w:r>
    </w:p>
    <w:p w14:paraId="3C139C70" w14:textId="77777777" w:rsidR="00653284" w:rsidRPr="00653284" w:rsidRDefault="00653284" w:rsidP="00653284">
      <w:pPr>
        <w:spacing w:before="0" w:beforeAutospacing="0" w:after="0"/>
        <w:rPr>
          <w:b/>
          <w:bCs/>
          <w:i/>
          <w:iCs/>
          <w:color w:val="000000" w:themeColor="text1"/>
          <w:lang w:eastAsia="ko-KR"/>
        </w:rPr>
      </w:pPr>
    </w:p>
    <w:p w14:paraId="30E916ED" w14:textId="02229C26" w:rsidR="0073684D" w:rsidRDefault="0073684D" w:rsidP="0073684D">
      <w:pPr>
        <w:spacing w:after="120"/>
        <w:rPr>
          <w:b/>
          <w:u w:val="single"/>
          <w:lang w:eastAsia="ko-KR"/>
        </w:rPr>
      </w:pPr>
      <w:r>
        <w:rPr>
          <w:b/>
          <w:u w:val="single"/>
          <w:lang w:eastAsia="ko-KR"/>
        </w:rPr>
        <w:t>Serving cell threshold associated SSB</w:t>
      </w:r>
    </w:p>
    <w:p w14:paraId="70FE676A" w14:textId="066EA27C" w:rsidR="00D62E42" w:rsidRPr="00D62E42" w:rsidRDefault="00294180" w:rsidP="00D62E42">
      <w:pPr>
        <w:jc w:val="both"/>
        <w:rPr>
          <w:rFonts w:eastAsia="DengXian"/>
          <w:color w:val="000000"/>
        </w:rPr>
      </w:pPr>
      <w:proofErr w:type="gramStart"/>
      <w:r w:rsidRPr="00D62E42">
        <w:t>In serving cell measurement, there</w:t>
      </w:r>
      <w:proofErr w:type="gramEnd"/>
      <w:r w:rsidRPr="00D62E42">
        <w:t xml:space="preserve"> </w:t>
      </w:r>
      <w:r w:rsidR="00A667CC" w:rsidRPr="00D62E42">
        <w:t>is a</w:t>
      </w:r>
      <w:r w:rsidRPr="00D62E42">
        <w:t xml:space="preserve"> threshold configured by network to determine if neighbor cell measurement is needed, </w:t>
      </w:r>
      <w:r w:rsidR="00A667CC" w:rsidRPr="00D62E42">
        <w:t xml:space="preserve">i.e., </w:t>
      </w:r>
      <w:r w:rsidRPr="00D62E42">
        <w:rPr>
          <w:i/>
          <w:iCs/>
        </w:rPr>
        <w:t>s-</w:t>
      </w:r>
      <w:proofErr w:type="spellStart"/>
      <w:r w:rsidRPr="00D62E42">
        <w:rPr>
          <w:i/>
          <w:iCs/>
        </w:rPr>
        <w:t>MeasureConfig</w:t>
      </w:r>
      <w:proofErr w:type="spellEnd"/>
      <w:r w:rsidRPr="00D62E42">
        <w:t xml:space="preserve"> for Connected mode. </w:t>
      </w:r>
      <w:r w:rsidR="00653284" w:rsidRPr="00D62E42">
        <w:t xml:space="preserve">In last meeting, RAN4 agreed that no need to clarify in the TS38.133 that serving cell thresholds of </w:t>
      </w:r>
      <w:r w:rsidR="00653284" w:rsidRPr="00D62E42">
        <w:rPr>
          <w:i/>
          <w:iCs/>
        </w:rPr>
        <w:t>s-</w:t>
      </w:r>
      <w:proofErr w:type="spellStart"/>
      <w:r w:rsidR="00653284" w:rsidRPr="00D62E42">
        <w:rPr>
          <w:i/>
          <w:iCs/>
        </w:rPr>
        <w:t>MeasureConfig</w:t>
      </w:r>
      <w:proofErr w:type="spellEnd"/>
      <w:r w:rsidR="00653284" w:rsidRPr="00D62E42">
        <w:t xml:space="preserve"> for Connected mode should be checked based on reference SSB measurement. However, we think the definition in RAN2 unclear to use if we don’t have such clarification in RAN4.</w:t>
      </w:r>
      <w:r w:rsidR="00D62E42" w:rsidRPr="00D62E42">
        <w:rPr>
          <w:rFonts w:eastAsia="DengXian"/>
          <w:color w:val="000000"/>
        </w:rPr>
        <w:t xml:space="preserve"> In RAN2 spec, so far there is nowhere clarified this threshold associated with reference SSB, as duplicated below.</w:t>
      </w:r>
    </w:p>
    <w:p w14:paraId="6AD23CA0" w14:textId="77777777" w:rsidR="00D62E42" w:rsidRPr="00D62E42" w:rsidRDefault="00D62E42" w:rsidP="00D62E42">
      <w:pPr>
        <w:keepNext/>
        <w:keepLines/>
        <w:overflowPunct/>
        <w:autoSpaceDE/>
        <w:autoSpaceDN/>
        <w:adjustRightInd/>
        <w:spacing w:before="0" w:beforeAutospacing="0" w:after="0"/>
        <w:textAlignment w:val="auto"/>
        <w:rPr>
          <w:rFonts w:eastAsia="MS Mincho"/>
          <w:b/>
          <w:i/>
          <w:lang w:val="sv-SE" w:eastAsia="sv-SE"/>
        </w:rPr>
      </w:pPr>
      <w:r w:rsidRPr="00D62E42">
        <w:rPr>
          <w:b/>
          <w:i/>
          <w:lang w:val="sv-SE" w:eastAsia="sv-SE"/>
        </w:rPr>
        <w:lastRenderedPageBreak/>
        <w:t>s-</w:t>
      </w:r>
      <w:proofErr w:type="spellStart"/>
      <w:r w:rsidRPr="00D62E42">
        <w:rPr>
          <w:b/>
          <w:i/>
          <w:lang w:val="sv-SE" w:eastAsia="sv-SE"/>
        </w:rPr>
        <w:t>MeasureConfig</w:t>
      </w:r>
      <w:proofErr w:type="spellEnd"/>
    </w:p>
    <w:p w14:paraId="6547AF0D" w14:textId="2E49BFCF" w:rsidR="00294180" w:rsidRDefault="00D62E42" w:rsidP="00D62E42">
      <w:pPr>
        <w:tabs>
          <w:tab w:val="left" w:pos="990"/>
        </w:tabs>
        <w:spacing w:after="120"/>
        <w:jc w:val="both"/>
        <w:rPr>
          <w:lang w:val="sv-SE" w:eastAsia="sv-SE"/>
        </w:rPr>
      </w:pPr>
      <w:proofErr w:type="spellStart"/>
      <w:r w:rsidRPr="00D62E42">
        <w:rPr>
          <w:lang w:val="sv-SE" w:eastAsia="sv-SE"/>
        </w:rPr>
        <w:t>Threshold</w:t>
      </w:r>
      <w:proofErr w:type="spellEnd"/>
      <w:r w:rsidRPr="00D62E42">
        <w:rPr>
          <w:lang w:val="sv-SE" w:eastAsia="sv-SE"/>
        </w:rPr>
        <w:t xml:space="preserve"> for NR </w:t>
      </w:r>
      <w:proofErr w:type="spellStart"/>
      <w:r w:rsidRPr="00D62E42">
        <w:rPr>
          <w:lang w:val="sv-SE" w:eastAsia="sv-SE"/>
        </w:rPr>
        <w:t>SpCell</w:t>
      </w:r>
      <w:proofErr w:type="spellEnd"/>
      <w:r w:rsidRPr="00D62E42">
        <w:rPr>
          <w:lang w:val="sv-SE" w:eastAsia="sv-SE"/>
        </w:rPr>
        <w:t xml:space="preserve"> RSRP </w:t>
      </w:r>
      <w:proofErr w:type="spellStart"/>
      <w:r w:rsidRPr="00D62E42">
        <w:rPr>
          <w:lang w:val="sv-SE" w:eastAsia="sv-SE"/>
        </w:rPr>
        <w:t>measurement</w:t>
      </w:r>
      <w:proofErr w:type="spellEnd"/>
      <w:r w:rsidRPr="00D62E42">
        <w:rPr>
          <w:lang w:val="sv-SE" w:eastAsia="sv-SE"/>
        </w:rPr>
        <w:t xml:space="preserve"> </w:t>
      </w:r>
      <w:proofErr w:type="spellStart"/>
      <w:r w:rsidRPr="00D62E42">
        <w:rPr>
          <w:lang w:val="sv-SE" w:eastAsia="sv-SE"/>
        </w:rPr>
        <w:t>controlling</w:t>
      </w:r>
      <w:proofErr w:type="spellEnd"/>
      <w:r w:rsidRPr="00D62E42">
        <w:rPr>
          <w:lang w:val="sv-SE" w:eastAsia="sv-SE"/>
        </w:rPr>
        <w:t xml:space="preserve"> </w:t>
      </w:r>
      <w:proofErr w:type="spellStart"/>
      <w:r w:rsidRPr="00D62E42">
        <w:rPr>
          <w:lang w:val="sv-SE" w:eastAsia="sv-SE"/>
        </w:rPr>
        <w:t>when</w:t>
      </w:r>
      <w:proofErr w:type="spellEnd"/>
      <w:r w:rsidRPr="00D62E42">
        <w:rPr>
          <w:lang w:val="sv-SE" w:eastAsia="sv-SE"/>
        </w:rPr>
        <w:t xml:space="preserve"> the UE is </w:t>
      </w:r>
      <w:proofErr w:type="spellStart"/>
      <w:r w:rsidRPr="00D62E42">
        <w:rPr>
          <w:lang w:val="sv-SE" w:eastAsia="sv-SE"/>
        </w:rPr>
        <w:t>required</w:t>
      </w:r>
      <w:proofErr w:type="spellEnd"/>
      <w:r w:rsidRPr="00D62E42">
        <w:rPr>
          <w:lang w:val="sv-SE" w:eastAsia="sv-SE"/>
        </w:rPr>
        <w:t xml:space="preserve"> to </w:t>
      </w:r>
      <w:proofErr w:type="spellStart"/>
      <w:r w:rsidRPr="00D62E42">
        <w:rPr>
          <w:lang w:val="sv-SE" w:eastAsia="sv-SE"/>
        </w:rPr>
        <w:t>perform</w:t>
      </w:r>
      <w:proofErr w:type="spellEnd"/>
      <w:r w:rsidRPr="00D62E42">
        <w:rPr>
          <w:lang w:val="sv-SE" w:eastAsia="sv-SE"/>
        </w:rPr>
        <w:t xml:space="preserve"> </w:t>
      </w:r>
      <w:proofErr w:type="spellStart"/>
      <w:r w:rsidRPr="00D62E42">
        <w:rPr>
          <w:lang w:val="sv-SE" w:eastAsia="sv-SE"/>
        </w:rPr>
        <w:t>measurements</w:t>
      </w:r>
      <w:proofErr w:type="spellEnd"/>
      <w:r w:rsidRPr="00D62E42">
        <w:rPr>
          <w:lang w:val="sv-SE" w:eastAsia="sv-SE"/>
        </w:rPr>
        <w:t xml:space="preserve"> on non-</w:t>
      </w:r>
      <w:proofErr w:type="spellStart"/>
      <w:r w:rsidRPr="00D62E42">
        <w:rPr>
          <w:lang w:val="sv-SE" w:eastAsia="sv-SE"/>
        </w:rPr>
        <w:t>serving</w:t>
      </w:r>
      <w:proofErr w:type="spellEnd"/>
      <w:r w:rsidRPr="00D62E42">
        <w:rPr>
          <w:lang w:val="sv-SE" w:eastAsia="sv-SE"/>
        </w:rPr>
        <w:t xml:space="preserve"> cells. Choice </w:t>
      </w:r>
      <w:proofErr w:type="spellStart"/>
      <w:r w:rsidRPr="00D62E42">
        <w:rPr>
          <w:lang w:val="sv-SE" w:eastAsia="sv-SE"/>
        </w:rPr>
        <w:t>of</w:t>
      </w:r>
      <w:proofErr w:type="spellEnd"/>
      <w:r w:rsidRPr="00D62E42">
        <w:rPr>
          <w:lang w:val="sv-SE" w:eastAsia="sv-SE"/>
        </w:rPr>
        <w:t xml:space="preserve"> </w:t>
      </w:r>
      <w:proofErr w:type="spellStart"/>
      <w:r w:rsidRPr="00D62E42">
        <w:rPr>
          <w:i/>
          <w:highlight w:val="yellow"/>
          <w:lang w:val="sv-SE" w:eastAsia="sv-SE"/>
        </w:rPr>
        <w:t>ssb</w:t>
      </w:r>
      <w:proofErr w:type="spellEnd"/>
      <w:r w:rsidRPr="00D62E42">
        <w:rPr>
          <w:i/>
          <w:highlight w:val="yellow"/>
          <w:lang w:val="sv-SE" w:eastAsia="sv-SE"/>
        </w:rPr>
        <w:t xml:space="preserve">-RSRP </w:t>
      </w:r>
      <w:proofErr w:type="spellStart"/>
      <w:r w:rsidRPr="00D62E42">
        <w:rPr>
          <w:highlight w:val="yellow"/>
          <w:lang w:val="sv-SE" w:eastAsia="sv-SE"/>
        </w:rPr>
        <w:t>corresponds</w:t>
      </w:r>
      <w:proofErr w:type="spellEnd"/>
      <w:r w:rsidRPr="00D62E42">
        <w:rPr>
          <w:highlight w:val="yellow"/>
          <w:lang w:val="sv-SE" w:eastAsia="sv-SE"/>
        </w:rPr>
        <w:t xml:space="preserve"> to cell RSRP </w:t>
      </w:r>
      <w:proofErr w:type="spellStart"/>
      <w:r w:rsidRPr="00D62E42">
        <w:rPr>
          <w:highlight w:val="yellow"/>
          <w:lang w:val="sv-SE" w:eastAsia="sv-SE"/>
        </w:rPr>
        <w:t>based</w:t>
      </w:r>
      <w:proofErr w:type="spellEnd"/>
      <w:r w:rsidRPr="00D62E42">
        <w:rPr>
          <w:highlight w:val="yellow"/>
          <w:lang w:val="sv-SE" w:eastAsia="sv-SE"/>
        </w:rPr>
        <w:t xml:space="preserve"> on SS/PBCH </w:t>
      </w:r>
      <w:proofErr w:type="gramStart"/>
      <w:r w:rsidRPr="00D62E42">
        <w:rPr>
          <w:highlight w:val="yellow"/>
          <w:lang w:val="sv-SE" w:eastAsia="sv-SE"/>
        </w:rPr>
        <w:t>block</w:t>
      </w:r>
      <w:r w:rsidRPr="00D62E42">
        <w:rPr>
          <w:lang w:val="sv-SE" w:eastAsia="sv-SE"/>
        </w:rPr>
        <w:t xml:space="preserve"> and</w:t>
      </w:r>
      <w:proofErr w:type="gramEnd"/>
      <w:r w:rsidRPr="00D62E42">
        <w:rPr>
          <w:lang w:val="sv-SE" w:eastAsia="sv-SE"/>
        </w:rPr>
        <w:t xml:space="preserve"> choice </w:t>
      </w:r>
      <w:proofErr w:type="spellStart"/>
      <w:r w:rsidRPr="00D62E42">
        <w:rPr>
          <w:lang w:val="sv-SE" w:eastAsia="sv-SE"/>
        </w:rPr>
        <w:t>of</w:t>
      </w:r>
      <w:proofErr w:type="spellEnd"/>
      <w:r w:rsidRPr="00D62E42">
        <w:rPr>
          <w:lang w:val="sv-SE" w:eastAsia="sv-SE"/>
        </w:rPr>
        <w:t xml:space="preserve"> </w:t>
      </w:r>
      <w:proofErr w:type="spellStart"/>
      <w:r w:rsidRPr="00D62E42">
        <w:rPr>
          <w:i/>
          <w:lang w:val="sv-SE" w:eastAsia="sv-SE"/>
        </w:rPr>
        <w:t>csi</w:t>
      </w:r>
      <w:proofErr w:type="spellEnd"/>
      <w:r w:rsidRPr="00D62E42">
        <w:rPr>
          <w:i/>
          <w:lang w:val="sv-SE" w:eastAsia="sv-SE"/>
        </w:rPr>
        <w:t xml:space="preserve">-RSRP </w:t>
      </w:r>
      <w:proofErr w:type="spellStart"/>
      <w:r w:rsidRPr="00D62E42">
        <w:rPr>
          <w:lang w:val="sv-SE" w:eastAsia="sv-SE"/>
        </w:rPr>
        <w:t>corresponds</w:t>
      </w:r>
      <w:proofErr w:type="spellEnd"/>
      <w:r w:rsidRPr="00D62E42">
        <w:rPr>
          <w:lang w:val="sv-SE" w:eastAsia="sv-SE"/>
        </w:rPr>
        <w:t xml:space="preserve"> to cell RSRP </w:t>
      </w:r>
      <w:proofErr w:type="spellStart"/>
      <w:r w:rsidRPr="00D62E42">
        <w:rPr>
          <w:lang w:val="sv-SE" w:eastAsia="sv-SE"/>
        </w:rPr>
        <w:t>of</w:t>
      </w:r>
      <w:proofErr w:type="spellEnd"/>
      <w:r w:rsidRPr="00D62E42">
        <w:rPr>
          <w:lang w:val="sv-SE" w:eastAsia="sv-SE"/>
        </w:rPr>
        <w:t xml:space="preserve"> CSI-RS.</w:t>
      </w:r>
    </w:p>
    <w:p w14:paraId="1B4E02F1" w14:textId="56160460" w:rsidR="00D62E42" w:rsidRPr="00D62E42" w:rsidRDefault="00D62E42" w:rsidP="00D62E42">
      <w:pPr>
        <w:tabs>
          <w:tab w:val="left" w:pos="990"/>
        </w:tabs>
        <w:spacing w:after="120"/>
        <w:jc w:val="both"/>
      </w:pPr>
      <w:r w:rsidRPr="00D62E42">
        <w:t>Since RAN4 agreed to not clarify it in RAN4 measurement requirement, we propose to send LS to RAN2 to confirm that such definition is based on reference SSB.</w:t>
      </w:r>
    </w:p>
    <w:p w14:paraId="0A136629" w14:textId="113A44F0" w:rsidR="00294180" w:rsidRPr="00DC0041" w:rsidRDefault="00294180" w:rsidP="00294180">
      <w:pPr>
        <w:tabs>
          <w:tab w:val="left" w:pos="990"/>
        </w:tabs>
        <w:spacing w:after="120"/>
        <w:jc w:val="both"/>
        <w:rPr>
          <w:b/>
          <w:bCs/>
          <w:i/>
          <w:iCs/>
        </w:rPr>
      </w:pPr>
      <w:r w:rsidRPr="00DC0041">
        <w:rPr>
          <w:b/>
          <w:bCs/>
          <w:i/>
          <w:iCs/>
        </w:rPr>
        <w:t xml:space="preserve">Proposal </w:t>
      </w:r>
      <w:r w:rsidR="00D62E42">
        <w:rPr>
          <w:b/>
          <w:bCs/>
          <w:i/>
          <w:iCs/>
        </w:rPr>
        <w:t>4</w:t>
      </w:r>
      <w:r w:rsidRPr="00DC0041">
        <w:rPr>
          <w:b/>
          <w:bCs/>
          <w:i/>
          <w:iCs/>
        </w:rPr>
        <w:t xml:space="preserve">: </w:t>
      </w:r>
      <w:r w:rsidR="00D62E42">
        <w:rPr>
          <w:b/>
          <w:bCs/>
          <w:i/>
          <w:iCs/>
        </w:rPr>
        <w:t>Send LS to RAN2 to confirm t</w:t>
      </w:r>
      <w:r w:rsidR="00A667CC" w:rsidRPr="00A667CC">
        <w:rPr>
          <w:b/>
          <w:bCs/>
          <w:i/>
          <w:iCs/>
        </w:rPr>
        <w:t>he serving cell thresholds of s-</w:t>
      </w:r>
      <w:proofErr w:type="spellStart"/>
      <w:r w:rsidR="00A667CC" w:rsidRPr="00A667CC">
        <w:rPr>
          <w:b/>
          <w:bCs/>
          <w:i/>
          <w:iCs/>
        </w:rPr>
        <w:t>MeasureConfig</w:t>
      </w:r>
      <w:proofErr w:type="spellEnd"/>
      <w:r w:rsidR="00A667CC" w:rsidRPr="00A667CC">
        <w:rPr>
          <w:b/>
          <w:bCs/>
          <w:i/>
          <w:iCs/>
        </w:rPr>
        <w:t xml:space="preserve"> for Connected mode should be checked based on reference SSB measurement.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6658A490" w14:textId="77777777" w:rsidR="00D62E42" w:rsidRDefault="00D62E42" w:rsidP="00D62E42">
      <w:pPr>
        <w:spacing w:after="120"/>
        <w:jc w:val="both"/>
      </w:pPr>
      <w:r>
        <w:t>In this contribution, we discuss the above remaining issues and corresponding LS [2] for s</w:t>
      </w:r>
      <w:r w:rsidRPr="00BA1CC1">
        <w:t>erving cell threshold associated SSB</w:t>
      </w:r>
      <w:r>
        <w:t xml:space="preserve"> is proposed.</w:t>
      </w:r>
    </w:p>
    <w:p w14:paraId="5E9432C5" w14:textId="77777777" w:rsidR="00D62E42" w:rsidRPr="00103627" w:rsidRDefault="00D62E42" w:rsidP="00D62E42">
      <w:pPr>
        <w:tabs>
          <w:tab w:val="left" w:pos="990"/>
        </w:tabs>
        <w:spacing w:after="120"/>
        <w:jc w:val="both"/>
        <w:rPr>
          <w:b/>
          <w:bCs/>
          <w:i/>
          <w:iCs/>
        </w:rPr>
      </w:pPr>
      <w:r w:rsidRPr="00470558">
        <w:rPr>
          <w:b/>
          <w:bCs/>
          <w:i/>
          <w:iCs/>
        </w:rPr>
        <w:t xml:space="preserve">Proposal 1: </w:t>
      </w:r>
      <w:r>
        <w:rPr>
          <w:b/>
          <w:bCs/>
          <w:i/>
          <w:iCs/>
        </w:rPr>
        <w:t>F</w:t>
      </w:r>
      <w:r w:rsidRPr="00470558">
        <w:rPr>
          <w:b/>
          <w:bCs/>
          <w:i/>
          <w:iCs/>
        </w:rPr>
        <w:t xml:space="preserve">or UE configured with </w:t>
      </w:r>
      <w:proofErr w:type="spellStart"/>
      <w:r w:rsidRPr="00470558">
        <w:rPr>
          <w:b/>
          <w:bCs/>
          <w:i/>
          <w:iCs/>
        </w:rPr>
        <w:t>eDRX</w:t>
      </w:r>
      <w:proofErr w:type="spellEnd"/>
      <w:r w:rsidRPr="00470558">
        <w:rPr>
          <w:b/>
          <w:bCs/>
          <w:i/>
          <w:iCs/>
        </w:rPr>
        <w:t xml:space="preserve"> in RRC_INACTIVE state</w:t>
      </w:r>
      <w:r>
        <w:rPr>
          <w:b/>
          <w:bCs/>
          <w:i/>
          <w:iCs/>
        </w:rPr>
        <w:t xml:space="preserve"> in FR1</w:t>
      </w:r>
      <w:r w:rsidRPr="00470558">
        <w:rPr>
          <w:b/>
          <w:bCs/>
          <w:i/>
          <w:iCs/>
        </w:rPr>
        <w:t xml:space="preserve">, the TA validation requirements for </w:t>
      </w:r>
      <w:proofErr w:type="spellStart"/>
      <w:r w:rsidRPr="00470558">
        <w:rPr>
          <w:b/>
          <w:bCs/>
          <w:i/>
          <w:iCs/>
        </w:rPr>
        <w:t>RedCap</w:t>
      </w:r>
      <w:proofErr w:type="spellEnd"/>
      <w:r w:rsidRPr="00470558">
        <w:rPr>
          <w:b/>
          <w:bCs/>
          <w:i/>
          <w:iCs/>
        </w:rPr>
        <w:t xml:space="preserve"> CG-SDT </w:t>
      </w:r>
      <w:r>
        <w:rPr>
          <w:b/>
          <w:bCs/>
          <w:i/>
          <w:iCs/>
        </w:rPr>
        <w:t>shall be revised as</w:t>
      </w:r>
      <w:r w:rsidRPr="00470558">
        <w:rPr>
          <w:b/>
          <w:bCs/>
          <w:i/>
          <w:iCs/>
        </w:rPr>
        <w:t>,</w:t>
      </w:r>
    </w:p>
    <w:tbl>
      <w:tblPr>
        <w:tblStyle w:val="TableGrid"/>
        <w:tblW w:w="0" w:type="auto"/>
        <w:tblLook w:val="04A0" w:firstRow="1" w:lastRow="0" w:firstColumn="1" w:lastColumn="0" w:noHBand="0" w:noVBand="1"/>
      </w:tblPr>
      <w:tblGrid>
        <w:gridCol w:w="1838"/>
        <w:gridCol w:w="7791"/>
      </w:tblGrid>
      <w:tr w:rsidR="00D62E42" w:rsidRPr="00470558" w14:paraId="72D31379" w14:textId="77777777" w:rsidTr="005C3651">
        <w:trPr>
          <w:trHeight w:val="20"/>
        </w:trPr>
        <w:tc>
          <w:tcPr>
            <w:tcW w:w="1838" w:type="dxa"/>
            <w:tcBorders>
              <w:top w:val="single" w:sz="4" w:space="0" w:color="auto"/>
              <w:left w:val="single" w:sz="4" w:space="0" w:color="auto"/>
              <w:bottom w:val="single" w:sz="4" w:space="0" w:color="auto"/>
              <w:right w:val="single" w:sz="4" w:space="0" w:color="auto"/>
            </w:tcBorders>
            <w:hideMark/>
          </w:tcPr>
          <w:p w14:paraId="766C9B4F" w14:textId="77777777" w:rsidR="00D62E42" w:rsidRPr="00470558" w:rsidRDefault="00D62E42" w:rsidP="005C3651">
            <w:pPr>
              <w:pStyle w:val="TAH"/>
              <w:spacing w:before="0" w:beforeAutospacing="0" w:after="0"/>
              <w:rPr>
                <w:rFonts w:ascii="Times New Roman" w:hAnsi="Times New Roman"/>
                <w:bCs/>
                <w:i/>
                <w:iCs/>
                <w:sz w:val="24"/>
              </w:rPr>
            </w:pPr>
            <w:r w:rsidRPr="00470558">
              <w:rPr>
                <w:rFonts w:ascii="Times New Roman" w:hAnsi="Times New Roman"/>
                <w:bCs/>
                <w:i/>
                <w:iCs/>
                <w:sz w:val="24"/>
              </w:rPr>
              <w:t>Measurement</w:t>
            </w:r>
          </w:p>
        </w:tc>
        <w:tc>
          <w:tcPr>
            <w:tcW w:w="7791" w:type="dxa"/>
            <w:tcBorders>
              <w:top w:val="single" w:sz="4" w:space="0" w:color="auto"/>
              <w:left w:val="single" w:sz="4" w:space="0" w:color="auto"/>
              <w:bottom w:val="single" w:sz="4" w:space="0" w:color="auto"/>
              <w:right w:val="single" w:sz="4" w:space="0" w:color="auto"/>
            </w:tcBorders>
            <w:hideMark/>
          </w:tcPr>
          <w:p w14:paraId="3F8F2D8B" w14:textId="77777777" w:rsidR="00D62E42" w:rsidRPr="00470558" w:rsidRDefault="00D62E42" w:rsidP="005C3651">
            <w:pPr>
              <w:pStyle w:val="TAH"/>
              <w:spacing w:before="0" w:beforeAutospacing="0" w:after="0"/>
              <w:rPr>
                <w:rFonts w:ascii="Times New Roman" w:hAnsi="Times New Roman"/>
                <w:bCs/>
                <w:i/>
                <w:iCs/>
                <w:sz w:val="24"/>
              </w:rPr>
            </w:pPr>
            <w:r w:rsidRPr="00470558">
              <w:rPr>
                <w:rFonts w:ascii="Times New Roman" w:hAnsi="Times New Roman"/>
                <w:bCs/>
                <w:i/>
                <w:iCs/>
                <w:sz w:val="24"/>
              </w:rPr>
              <w:t>FR1</w:t>
            </w:r>
          </w:p>
        </w:tc>
      </w:tr>
      <w:tr w:rsidR="00D62E42" w:rsidRPr="00470558" w14:paraId="1C345121" w14:textId="77777777" w:rsidTr="005C3651">
        <w:trPr>
          <w:trHeight w:val="20"/>
        </w:trPr>
        <w:tc>
          <w:tcPr>
            <w:tcW w:w="1838" w:type="dxa"/>
            <w:tcBorders>
              <w:top w:val="single" w:sz="4" w:space="0" w:color="auto"/>
              <w:left w:val="single" w:sz="4" w:space="0" w:color="auto"/>
              <w:bottom w:val="single" w:sz="4" w:space="0" w:color="auto"/>
              <w:right w:val="single" w:sz="4" w:space="0" w:color="auto"/>
            </w:tcBorders>
            <w:hideMark/>
          </w:tcPr>
          <w:p w14:paraId="269EEAF7" w14:textId="77777777" w:rsidR="00D62E42" w:rsidRPr="00470558" w:rsidRDefault="00D62E42" w:rsidP="005C3651">
            <w:pPr>
              <w:pStyle w:val="TAC"/>
              <w:spacing w:before="0" w:beforeAutospacing="0" w:after="0"/>
              <w:rPr>
                <w:rFonts w:ascii="Times New Roman" w:hAnsi="Times New Roman"/>
                <w:b/>
                <w:bCs/>
                <w:i/>
                <w:iCs/>
                <w:sz w:val="24"/>
              </w:rPr>
            </w:pPr>
            <w:r w:rsidRPr="00470558">
              <w:rPr>
                <w:rFonts w:ascii="Times New Roman" w:hAnsi="Times New Roman"/>
                <w:b/>
                <w:bCs/>
                <w:i/>
                <w:iCs/>
                <w:sz w:val="24"/>
              </w:rPr>
              <w:t>RSRP</w:t>
            </w:r>
            <w:r w:rsidRPr="00470558">
              <w:rPr>
                <w:rFonts w:ascii="Times New Roman" w:hAnsi="Times New Roman"/>
                <w:b/>
                <w:bCs/>
                <w:i/>
                <w:iCs/>
                <w:sz w:val="24"/>
                <w:vertAlign w:val="subscript"/>
              </w:rPr>
              <w:t>1</w:t>
            </w:r>
          </w:p>
        </w:tc>
        <w:tc>
          <w:tcPr>
            <w:tcW w:w="7791" w:type="dxa"/>
            <w:tcBorders>
              <w:top w:val="single" w:sz="4" w:space="0" w:color="auto"/>
              <w:left w:val="single" w:sz="4" w:space="0" w:color="auto"/>
              <w:bottom w:val="single" w:sz="4" w:space="0" w:color="auto"/>
              <w:right w:val="single" w:sz="4" w:space="0" w:color="auto"/>
            </w:tcBorders>
            <w:hideMark/>
          </w:tcPr>
          <w:p w14:paraId="39A8CFAF" w14:textId="77777777" w:rsidR="00D62E42" w:rsidRPr="00470558" w:rsidRDefault="00D62E42" w:rsidP="005C3651">
            <w:pPr>
              <w:pStyle w:val="TAC"/>
              <w:spacing w:before="0" w:beforeAutospacing="0" w:after="0"/>
              <w:rPr>
                <w:rFonts w:ascii="Times New Roman" w:hAnsi="Times New Roman"/>
                <w:b/>
                <w:bCs/>
                <w:i/>
                <w:iCs/>
                <w:sz w:val="24"/>
              </w:rPr>
            </w:pPr>
            <w:r w:rsidRPr="00470558">
              <w:rPr>
                <w:rFonts w:ascii="Times New Roman" w:hAnsi="Times New Roman"/>
                <w:b/>
                <w:bCs/>
                <w:i/>
                <w:iCs/>
                <w:sz w:val="24"/>
              </w:rPr>
              <w:t xml:space="preserve">(T1 – </w:t>
            </w:r>
            <w:proofErr w:type="gramStart"/>
            <w:r w:rsidRPr="00470558">
              <w:rPr>
                <w:rFonts w:ascii="Times New Roman" w:hAnsi="Times New Roman"/>
                <w:b/>
                <w:bCs/>
                <w:i/>
                <w:iCs/>
                <w:sz w:val="24"/>
              </w:rPr>
              <w:t>min(</w:t>
            </w:r>
            <w:proofErr w:type="gramEnd"/>
            <w:r w:rsidRPr="00470558">
              <w:rPr>
                <w:rFonts w:ascii="Times New Roman" w:hAnsi="Times New Roman"/>
                <w:b/>
                <w:bCs/>
                <w:i/>
                <w:iCs/>
                <w:sz w:val="24"/>
              </w:rPr>
              <w:t>640ms, M1*T)) ≤ T1’ ≤ (T1 + min(640ms, M1*T))</w:t>
            </w:r>
          </w:p>
        </w:tc>
      </w:tr>
      <w:tr w:rsidR="00D62E42" w:rsidRPr="00470558" w14:paraId="133438AB" w14:textId="77777777" w:rsidTr="005C3651">
        <w:trPr>
          <w:trHeight w:val="20"/>
        </w:trPr>
        <w:tc>
          <w:tcPr>
            <w:tcW w:w="1838" w:type="dxa"/>
            <w:tcBorders>
              <w:top w:val="single" w:sz="4" w:space="0" w:color="auto"/>
              <w:left w:val="single" w:sz="4" w:space="0" w:color="auto"/>
              <w:bottom w:val="single" w:sz="4" w:space="0" w:color="auto"/>
              <w:right w:val="single" w:sz="4" w:space="0" w:color="auto"/>
            </w:tcBorders>
            <w:hideMark/>
          </w:tcPr>
          <w:p w14:paraId="1E192FB0" w14:textId="77777777" w:rsidR="00D62E42" w:rsidRPr="00470558" w:rsidRDefault="00D62E42" w:rsidP="005C3651">
            <w:pPr>
              <w:pStyle w:val="TAC"/>
              <w:spacing w:before="0" w:beforeAutospacing="0" w:after="0"/>
              <w:rPr>
                <w:rFonts w:ascii="Times New Roman" w:hAnsi="Times New Roman"/>
                <w:b/>
                <w:bCs/>
                <w:i/>
                <w:iCs/>
                <w:sz w:val="24"/>
              </w:rPr>
            </w:pPr>
            <w:r w:rsidRPr="00470558">
              <w:rPr>
                <w:rFonts w:ascii="Times New Roman" w:hAnsi="Times New Roman"/>
                <w:b/>
                <w:bCs/>
                <w:i/>
                <w:iCs/>
                <w:sz w:val="24"/>
              </w:rPr>
              <w:t>RSRP</w:t>
            </w:r>
            <w:r w:rsidRPr="00470558">
              <w:rPr>
                <w:rFonts w:ascii="Times New Roman" w:hAnsi="Times New Roman"/>
                <w:b/>
                <w:bCs/>
                <w:i/>
                <w:iCs/>
                <w:sz w:val="24"/>
                <w:vertAlign w:val="subscript"/>
              </w:rPr>
              <w:t>2</w:t>
            </w:r>
          </w:p>
        </w:tc>
        <w:tc>
          <w:tcPr>
            <w:tcW w:w="7791" w:type="dxa"/>
            <w:tcBorders>
              <w:top w:val="single" w:sz="4" w:space="0" w:color="auto"/>
              <w:left w:val="single" w:sz="4" w:space="0" w:color="auto"/>
              <w:bottom w:val="single" w:sz="4" w:space="0" w:color="auto"/>
              <w:right w:val="single" w:sz="4" w:space="0" w:color="auto"/>
            </w:tcBorders>
            <w:hideMark/>
          </w:tcPr>
          <w:p w14:paraId="47473E77" w14:textId="77777777" w:rsidR="00D62E42" w:rsidRPr="00470558" w:rsidRDefault="00D62E42" w:rsidP="005C3651">
            <w:pPr>
              <w:pStyle w:val="TAC"/>
              <w:spacing w:before="0" w:beforeAutospacing="0" w:after="0"/>
              <w:rPr>
                <w:rFonts w:ascii="Times New Roman" w:hAnsi="Times New Roman"/>
                <w:b/>
                <w:bCs/>
                <w:i/>
                <w:iCs/>
                <w:sz w:val="24"/>
              </w:rPr>
            </w:pPr>
            <w:r w:rsidRPr="00470558">
              <w:rPr>
                <w:rFonts w:ascii="Times New Roman" w:hAnsi="Times New Roman"/>
                <w:b/>
                <w:bCs/>
                <w:i/>
                <w:iCs/>
                <w:sz w:val="24"/>
              </w:rPr>
              <w:t xml:space="preserve">(T2 – </w:t>
            </w:r>
            <w:proofErr w:type="gramStart"/>
            <w:r w:rsidRPr="00470558">
              <w:rPr>
                <w:rFonts w:ascii="Times New Roman" w:hAnsi="Times New Roman"/>
                <w:b/>
                <w:bCs/>
                <w:i/>
                <w:iCs/>
                <w:sz w:val="24"/>
              </w:rPr>
              <w:t>min(</w:t>
            </w:r>
            <w:proofErr w:type="gramEnd"/>
            <w:r w:rsidRPr="00470558">
              <w:rPr>
                <w:rFonts w:ascii="Times New Roman" w:hAnsi="Times New Roman"/>
                <w:b/>
                <w:bCs/>
                <w:i/>
                <w:iCs/>
                <w:sz w:val="24"/>
              </w:rPr>
              <w:t>640ms, M1*T)) ≤ T2’ ≤ T2</w:t>
            </w:r>
          </w:p>
        </w:tc>
      </w:tr>
      <w:tr w:rsidR="00D62E42" w:rsidRPr="00470558" w14:paraId="14A25CC3" w14:textId="77777777" w:rsidTr="005C3651">
        <w:trPr>
          <w:trHeight w:val="20"/>
        </w:trPr>
        <w:tc>
          <w:tcPr>
            <w:tcW w:w="9629" w:type="dxa"/>
            <w:gridSpan w:val="2"/>
            <w:tcBorders>
              <w:top w:val="single" w:sz="4" w:space="0" w:color="auto"/>
              <w:left w:val="single" w:sz="4" w:space="0" w:color="auto"/>
              <w:bottom w:val="single" w:sz="4" w:space="0" w:color="auto"/>
              <w:right w:val="single" w:sz="4" w:space="0" w:color="auto"/>
            </w:tcBorders>
          </w:tcPr>
          <w:p w14:paraId="556EBF01" w14:textId="77777777" w:rsidR="00D62E42" w:rsidRPr="00470558" w:rsidRDefault="00D62E42" w:rsidP="005C3651">
            <w:pPr>
              <w:pStyle w:val="TAC"/>
              <w:spacing w:before="0" w:beforeAutospacing="0" w:after="0"/>
              <w:jc w:val="left"/>
              <w:rPr>
                <w:rFonts w:ascii="Times New Roman" w:hAnsi="Times New Roman"/>
                <w:b/>
                <w:bCs/>
                <w:i/>
                <w:iCs/>
                <w:sz w:val="24"/>
              </w:rPr>
            </w:pPr>
            <w:r w:rsidRPr="00470558">
              <w:rPr>
                <w:rFonts w:ascii="Times New Roman" w:hAnsi="Times New Roman"/>
                <w:b/>
                <w:bCs/>
                <w:i/>
                <w:iCs/>
                <w:sz w:val="24"/>
              </w:rPr>
              <w:t>Note: T is as defined in table 5.1B.2.2-1</w:t>
            </w:r>
          </w:p>
        </w:tc>
      </w:tr>
    </w:tbl>
    <w:p w14:paraId="3312DA2E" w14:textId="07898232" w:rsidR="00D62E42" w:rsidRDefault="00D62E42" w:rsidP="00D62E42">
      <w:pPr>
        <w:tabs>
          <w:tab w:val="left" w:pos="990"/>
        </w:tabs>
        <w:spacing w:after="120"/>
        <w:jc w:val="both"/>
        <w:rPr>
          <w:b/>
          <w:bCs/>
          <w:i/>
          <w:iCs/>
        </w:rPr>
      </w:pPr>
      <w:r w:rsidRPr="00470558">
        <w:rPr>
          <w:b/>
          <w:bCs/>
          <w:i/>
          <w:iCs/>
        </w:rPr>
        <w:t xml:space="preserve">Proposal </w:t>
      </w:r>
      <w:r>
        <w:rPr>
          <w:b/>
          <w:bCs/>
          <w:i/>
          <w:iCs/>
        </w:rPr>
        <w:t>2</w:t>
      </w:r>
      <w:r w:rsidRPr="00470558">
        <w:rPr>
          <w:b/>
          <w:bCs/>
          <w:i/>
          <w:iCs/>
        </w:rPr>
        <w:t xml:space="preserve">: </w:t>
      </w:r>
      <w:r>
        <w:rPr>
          <w:b/>
          <w:bCs/>
          <w:i/>
          <w:iCs/>
        </w:rPr>
        <w:t>compromise to the option 2 for HO requirement:</w:t>
      </w:r>
    </w:p>
    <w:p w14:paraId="7548DE6A" w14:textId="77777777" w:rsidR="00D62E42" w:rsidRDefault="00D62E42" w:rsidP="00D62E42">
      <w:pPr>
        <w:tabs>
          <w:tab w:val="left" w:pos="990"/>
        </w:tabs>
        <w:spacing w:after="120"/>
        <w:jc w:val="both"/>
        <w:rPr>
          <w:b/>
          <w:bCs/>
          <w:i/>
          <w:iCs/>
        </w:rPr>
      </w:pPr>
      <w:r w:rsidRPr="00103627">
        <w:rPr>
          <w:b/>
          <w:bCs/>
          <w:i/>
          <w:iCs/>
        </w:rPr>
        <w:t>The scenario when handover is performed to a BWP which has different SSB than the one used during measurement should be considered as handover to an unknown cell. Capture the above condition as a note in the Handover related section in TS38.133</w:t>
      </w:r>
      <w:r>
        <w:rPr>
          <w:b/>
          <w:bCs/>
          <w:i/>
          <w:iCs/>
        </w:rPr>
        <w:t>.</w:t>
      </w:r>
    </w:p>
    <w:p w14:paraId="2F3AB88C" w14:textId="77777777" w:rsidR="00CA1854" w:rsidRDefault="00CA1854" w:rsidP="00CA1854">
      <w:pPr>
        <w:tabs>
          <w:tab w:val="left" w:pos="990"/>
        </w:tabs>
        <w:spacing w:after="120"/>
        <w:jc w:val="both"/>
        <w:rPr>
          <w:b/>
          <w:bCs/>
          <w:i/>
          <w:iCs/>
        </w:rPr>
      </w:pPr>
      <w:r w:rsidRPr="00470558">
        <w:rPr>
          <w:b/>
          <w:bCs/>
          <w:i/>
          <w:iCs/>
        </w:rPr>
        <w:t xml:space="preserve">Proposal </w:t>
      </w:r>
      <w:r>
        <w:rPr>
          <w:b/>
          <w:bCs/>
          <w:i/>
          <w:iCs/>
        </w:rPr>
        <w:t>3</w:t>
      </w:r>
      <w:r w:rsidRPr="00470558">
        <w:rPr>
          <w:b/>
          <w:bCs/>
          <w:i/>
          <w:iCs/>
        </w:rPr>
        <w:t xml:space="preserve">: </w:t>
      </w:r>
    </w:p>
    <w:p w14:paraId="7AC69744" w14:textId="77777777" w:rsidR="00CA1854" w:rsidRPr="00653284" w:rsidRDefault="00CA1854" w:rsidP="00CA1854">
      <w:pPr>
        <w:spacing w:before="0" w:beforeAutospacing="0" w:after="0"/>
        <w:rPr>
          <w:b/>
          <w:bCs/>
          <w:i/>
          <w:iCs/>
          <w:color w:val="000000" w:themeColor="text1"/>
          <w:lang w:eastAsia="ko-KR"/>
        </w:rPr>
      </w:pPr>
      <w:r w:rsidRPr="00653284">
        <w:rPr>
          <w:b/>
          <w:bCs/>
          <w:i/>
          <w:iCs/>
          <w:color w:val="000000" w:themeColor="text1"/>
          <w:lang w:eastAsia="ko-KR"/>
        </w:rPr>
        <w:t>When the Redcap specific initial BWP is configured for RA, extend RRC reestablishment delay by X=6ms.</w:t>
      </w:r>
    </w:p>
    <w:p w14:paraId="2FA605B0" w14:textId="77777777" w:rsidR="00CA1854" w:rsidRPr="00653284" w:rsidRDefault="00CA1854" w:rsidP="00CA1854">
      <w:pPr>
        <w:spacing w:before="0" w:beforeAutospacing="0" w:after="0"/>
        <w:rPr>
          <w:b/>
          <w:bCs/>
          <w:i/>
          <w:iCs/>
          <w:color w:val="000000" w:themeColor="text1"/>
          <w:lang w:eastAsia="ko-KR"/>
        </w:rPr>
      </w:pPr>
    </w:p>
    <w:p w14:paraId="0F34FFB1" w14:textId="77777777" w:rsidR="00CA1854" w:rsidRDefault="00CA1854" w:rsidP="00CA1854">
      <w:pPr>
        <w:spacing w:before="0" w:beforeAutospacing="0" w:after="0"/>
        <w:rPr>
          <w:b/>
          <w:bCs/>
          <w:i/>
          <w:iCs/>
          <w:color w:val="000000" w:themeColor="text1"/>
          <w:lang w:eastAsia="ko-KR"/>
        </w:rPr>
      </w:pPr>
      <w:r w:rsidRPr="00653284">
        <w:rPr>
          <w:b/>
          <w:bCs/>
          <w:i/>
          <w:iCs/>
          <w:color w:val="000000" w:themeColor="text1"/>
          <w:lang w:eastAsia="ko-KR"/>
        </w:rPr>
        <w:t>When the Redcap specific initial BWP is configured for RA, extend RRC connection release with re-direction delay by X=6ms.</w:t>
      </w:r>
    </w:p>
    <w:p w14:paraId="5E40C24D" w14:textId="52CACEF9" w:rsidR="00D62E42" w:rsidRDefault="00CA1854" w:rsidP="00E1774C">
      <w:pPr>
        <w:tabs>
          <w:tab w:val="left" w:pos="990"/>
        </w:tabs>
        <w:spacing w:after="120"/>
        <w:jc w:val="both"/>
        <w:rPr>
          <w:b/>
          <w:bCs/>
          <w:i/>
          <w:iCs/>
        </w:rPr>
      </w:pPr>
      <w:r w:rsidRPr="00DC0041">
        <w:rPr>
          <w:b/>
          <w:bCs/>
          <w:i/>
          <w:iCs/>
        </w:rPr>
        <w:t xml:space="preserve">Proposal </w:t>
      </w:r>
      <w:r>
        <w:rPr>
          <w:b/>
          <w:bCs/>
          <w:i/>
          <w:iCs/>
        </w:rPr>
        <w:t>4</w:t>
      </w:r>
      <w:r w:rsidRPr="00DC0041">
        <w:rPr>
          <w:b/>
          <w:bCs/>
          <w:i/>
          <w:iCs/>
        </w:rPr>
        <w:t xml:space="preserve">: </w:t>
      </w:r>
      <w:r>
        <w:rPr>
          <w:b/>
          <w:bCs/>
          <w:i/>
          <w:iCs/>
        </w:rPr>
        <w:t>Send LS to RAN2 to confirm t</w:t>
      </w:r>
      <w:r w:rsidRPr="00A667CC">
        <w:rPr>
          <w:b/>
          <w:bCs/>
          <w:i/>
          <w:iCs/>
        </w:rPr>
        <w:t>he serving cell thresholds of s-</w:t>
      </w:r>
      <w:proofErr w:type="spellStart"/>
      <w:r w:rsidRPr="00A667CC">
        <w:rPr>
          <w:b/>
          <w:bCs/>
          <w:i/>
          <w:iCs/>
        </w:rPr>
        <w:t>MeasureConfig</w:t>
      </w:r>
      <w:proofErr w:type="spellEnd"/>
      <w:r w:rsidRPr="00A667CC">
        <w:rPr>
          <w:b/>
          <w:bCs/>
          <w:i/>
          <w:iCs/>
        </w:rPr>
        <w:t xml:space="preserve"> for Connected mode should be checked based on reference SSB measurement.</w:t>
      </w:r>
    </w:p>
    <w:p w14:paraId="5C32F4BB" w14:textId="3B38C219"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4FC531C3" w:rsidR="00110BFA" w:rsidRDefault="00A74337" w:rsidP="00A74337">
      <w:r>
        <w:t xml:space="preserve">[1] </w:t>
      </w:r>
      <w:r w:rsidR="003C7F18" w:rsidRPr="003C7F18">
        <w:t>R4-2217214</w:t>
      </w:r>
      <w:r>
        <w:t xml:space="preserve">, </w:t>
      </w:r>
      <w:r w:rsidR="00BA1CC1" w:rsidRPr="00BA1CC1">
        <w:t xml:space="preserve">WF on </w:t>
      </w:r>
      <w:proofErr w:type="spellStart"/>
      <w:r w:rsidR="00BA1CC1" w:rsidRPr="00BA1CC1">
        <w:t>RedCap</w:t>
      </w:r>
      <w:proofErr w:type="spellEnd"/>
      <w:r w:rsidR="00BA1CC1" w:rsidRPr="00BA1CC1">
        <w:t xml:space="preserve"> RRM requirements</w:t>
      </w:r>
      <w:r>
        <w:t xml:space="preserve">, </w:t>
      </w:r>
      <w:r w:rsidR="00BD5C33">
        <w:t>Ericsson</w:t>
      </w:r>
      <w:r>
        <w:t>, RAN</w:t>
      </w:r>
      <w:r w:rsidR="00BE6FAD">
        <w:t>4 #10</w:t>
      </w:r>
      <w:r w:rsidR="00BA1CC1">
        <w:t>4</w:t>
      </w:r>
      <w:r w:rsidR="003C7F18">
        <w:t>-bis-</w:t>
      </w:r>
      <w:r w:rsidR="00BE6FAD">
        <w:t>e</w:t>
      </w:r>
      <w:r w:rsidR="00657845">
        <w:t>.</w:t>
      </w:r>
    </w:p>
    <w:p w14:paraId="615F70CD" w14:textId="56393707" w:rsidR="00C5077F" w:rsidRDefault="00C5077F" w:rsidP="00A74337">
      <w:r>
        <w:t xml:space="preserve">[2] </w:t>
      </w:r>
      <w:r w:rsidR="00C00B4A" w:rsidRPr="00C00B4A">
        <w:t>R4-22</w:t>
      </w:r>
      <w:r w:rsidR="0016053B">
        <w:rPr>
          <w:rFonts w:hint="eastAsia"/>
        </w:rPr>
        <w:t>xxxx</w:t>
      </w:r>
      <w:r w:rsidR="0016053B">
        <w:t>x</w:t>
      </w:r>
      <w:r>
        <w:t xml:space="preserve">, </w:t>
      </w:r>
      <w:r w:rsidR="0016053B">
        <w:t xml:space="preserve">LS on reference SSB for </w:t>
      </w:r>
      <w:r w:rsidR="0016053B" w:rsidRPr="0016053B">
        <w:rPr>
          <w:i/>
          <w:iCs/>
        </w:rPr>
        <w:t>s-</w:t>
      </w:r>
      <w:proofErr w:type="spellStart"/>
      <w:r w:rsidR="0016053B" w:rsidRPr="0016053B">
        <w:rPr>
          <w:i/>
          <w:iCs/>
        </w:rPr>
        <w:t>MeasureConfig</w:t>
      </w:r>
      <w:proofErr w:type="spellEnd"/>
      <w:r w:rsidR="0016053B">
        <w:t xml:space="preserve"> checking</w:t>
      </w:r>
      <w:r>
        <w:t>, Apple, RAN4 #10</w:t>
      </w:r>
      <w:r w:rsidR="0016053B">
        <w:t>5</w:t>
      </w:r>
      <w:r>
        <w:t>.</w:t>
      </w:r>
    </w:p>
    <w:p w14:paraId="1A4412BA" w14:textId="77777777" w:rsidR="00232164" w:rsidRPr="005A1E0E" w:rsidRDefault="00232164" w:rsidP="00A74337"/>
    <w:sectPr w:rsidR="00232164"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EA48F" w14:textId="77777777" w:rsidR="00165A34" w:rsidRDefault="00165A34">
      <w:r>
        <w:separator/>
      </w:r>
    </w:p>
  </w:endnote>
  <w:endnote w:type="continuationSeparator" w:id="0">
    <w:p w14:paraId="5A113A49" w14:textId="77777777" w:rsidR="00165A34" w:rsidRDefault="00165A34">
      <w:r>
        <w:continuationSeparator/>
      </w:r>
    </w:p>
  </w:endnote>
  <w:endnote w:type="continuationNotice" w:id="1">
    <w:p w14:paraId="314CD900" w14:textId="77777777" w:rsidR="00165A34" w:rsidRDefault="00165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69929" w14:textId="77777777" w:rsidR="00165A34" w:rsidRDefault="00165A34">
      <w:r>
        <w:separator/>
      </w:r>
    </w:p>
  </w:footnote>
  <w:footnote w:type="continuationSeparator" w:id="0">
    <w:p w14:paraId="49C4D4E0" w14:textId="77777777" w:rsidR="00165A34" w:rsidRDefault="00165A34">
      <w:r>
        <w:continuationSeparator/>
      </w:r>
    </w:p>
  </w:footnote>
  <w:footnote w:type="continuationNotice" w:id="1">
    <w:p w14:paraId="480A7555" w14:textId="77777777" w:rsidR="00165A34" w:rsidRDefault="00165A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FEB43E5"/>
    <w:multiLevelType w:val="multilevel"/>
    <w:tmpl w:val="1FEB43E5"/>
    <w:lvl w:ilvl="0">
      <w:start w:val="1"/>
      <w:numFmt w:val="bullet"/>
      <w:lvlText w:val=""/>
      <w:lvlJc w:val="left"/>
      <w:pPr>
        <w:ind w:left="568" w:hanging="360"/>
      </w:pPr>
      <w:rPr>
        <w:rFonts w:ascii="Symbol" w:hAnsi="Symbol"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8CA623E"/>
    <w:multiLevelType w:val="hybridMultilevel"/>
    <w:tmpl w:val="37B2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14"/>
  </w:num>
  <w:num w:numId="5" w16cid:durableId="19949176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9"/>
  </w:num>
  <w:num w:numId="8" w16cid:durableId="66853061">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2"/>
  </w:num>
  <w:num w:numId="11" w16cid:durableId="658192778">
    <w:abstractNumId w:val="13"/>
  </w:num>
  <w:num w:numId="12" w16cid:durableId="1756197473">
    <w:abstractNumId w:val="7"/>
  </w:num>
  <w:num w:numId="13" w16cid:durableId="955646145">
    <w:abstractNumId w:val="5"/>
  </w:num>
  <w:num w:numId="14" w16cid:durableId="883369291">
    <w:abstractNumId w:val="8"/>
  </w:num>
  <w:num w:numId="15" w16cid:durableId="13357069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0789521">
    <w:abstractNumId w:val="11"/>
  </w:num>
  <w:num w:numId="17" w16cid:durableId="76049091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226"/>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1DB"/>
    <w:rsid w:val="0003026B"/>
    <w:rsid w:val="000302CC"/>
    <w:rsid w:val="00030CC9"/>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2624"/>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3627"/>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053B"/>
    <w:rsid w:val="00161C57"/>
    <w:rsid w:val="001623E4"/>
    <w:rsid w:val="001629DA"/>
    <w:rsid w:val="00162B0D"/>
    <w:rsid w:val="00163FF3"/>
    <w:rsid w:val="001643D5"/>
    <w:rsid w:val="00164C45"/>
    <w:rsid w:val="001650A1"/>
    <w:rsid w:val="00165A34"/>
    <w:rsid w:val="001662C9"/>
    <w:rsid w:val="00166B14"/>
    <w:rsid w:val="0016767B"/>
    <w:rsid w:val="00167741"/>
    <w:rsid w:val="00167810"/>
    <w:rsid w:val="001679A5"/>
    <w:rsid w:val="00167C91"/>
    <w:rsid w:val="00167F60"/>
    <w:rsid w:val="001715D4"/>
    <w:rsid w:val="00171A8F"/>
    <w:rsid w:val="001725B6"/>
    <w:rsid w:val="00172D27"/>
    <w:rsid w:val="001731CF"/>
    <w:rsid w:val="00174669"/>
    <w:rsid w:val="001753FA"/>
    <w:rsid w:val="0017552B"/>
    <w:rsid w:val="001759D9"/>
    <w:rsid w:val="00175AB3"/>
    <w:rsid w:val="00175D68"/>
    <w:rsid w:val="0017788B"/>
    <w:rsid w:val="00177E2C"/>
    <w:rsid w:val="00180054"/>
    <w:rsid w:val="00182D60"/>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2164"/>
    <w:rsid w:val="002332D6"/>
    <w:rsid w:val="002343FF"/>
    <w:rsid w:val="002346F9"/>
    <w:rsid w:val="00234CC7"/>
    <w:rsid w:val="002352A1"/>
    <w:rsid w:val="00235D67"/>
    <w:rsid w:val="00236B44"/>
    <w:rsid w:val="00236D56"/>
    <w:rsid w:val="00237CD3"/>
    <w:rsid w:val="002408BE"/>
    <w:rsid w:val="00241281"/>
    <w:rsid w:val="00242604"/>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80"/>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31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6C0"/>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5139"/>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33A0"/>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8F8"/>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C7F18"/>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1D53"/>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0558"/>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1847"/>
    <w:rsid w:val="004A37FD"/>
    <w:rsid w:val="004A3824"/>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B7E7E"/>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7B"/>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772"/>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A00"/>
    <w:rsid w:val="0055702A"/>
    <w:rsid w:val="005572CC"/>
    <w:rsid w:val="00557767"/>
    <w:rsid w:val="005610EE"/>
    <w:rsid w:val="0056119B"/>
    <w:rsid w:val="00561599"/>
    <w:rsid w:val="00562102"/>
    <w:rsid w:val="005631E1"/>
    <w:rsid w:val="0056322F"/>
    <w:rsid w:val="0056761B"/>
    <w:rsid w:val="005704EA"/>
    <w:rsid w:val="00571C33"/>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7308"/>
    <w:rsid w:val="00587CFE"/>
    <w:rsid w:val="0059003D"/>
    <w:rsid w:val="00590323"/>
    <w:rsid w:val="00592401"/>
    <w:rsid w:val="00592642"/>
    <w:rsid w:val="00592D57"/>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722"/>
    <w:rsid w:val="005E1A5E"/>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2E87"/>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BA1"/>
    <w:rsid w:val="00627D4A"/>
    <w:rsid w:val="00630E6B"/>
    <w:rsid w:val="00631363"/>
    <w:rsid w:val="00632015"/>
    <w:rsid w:val="006320AE"/>
    <w:rsid w:val="006321BB"/>
    <w:rsid w:val="00633379"/>
    <w:rsid w:val="006339C2"/>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0714"/>
    <w:rsid w:val="00651ADE"/>
    <w:rsid w:val="00651B8F"/>
    <w:rsid w:val="00651CF2"/>
    <w:rsid w:val="00651E3F"/>
    <w:rsid w:val="0065271C"/>
    <w:rsid w:val="006529FD"/>
    <w:rsid w:val="00652AAC"/>
    <w:rsid w:val="00652CF2"/>
    <w:rsid w:val="00653284"/>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1CF"/>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6F7C52"/>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84D"/>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27"/>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226"/>
    <w:rsid w:val="00874380"/>
    <w:rsid w:val="00874595"/>
    <w:rsid w:val="008748CF"/>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617"/>
    <w:rsid w:val="008B0B5B"/>
    <w:rsid w:val="008B20FD"/>
    <w:rsid w:val="008B2281"/>
    <w:rsid w:val="008B2DE0"/>
    <w:rsid w:val="008B2E81"/>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00E"/>
    <w:rsid w:val="009168DE"/>
    <w:rsid w:val="009177A0"/>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2C1"/>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451E"/>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E32"/>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0CC8"/>
    <w:rsid w:val="00A11551"/>
    <w:rsid w:val="00A11575"/>
    <w:rsid w:val="00A117FF"/>
    <w:rsid w:val="00A11EAB"/>
    <w:rsid w:val="00A12522"/>
    <w:rsid w:val="00A125AC"/>
    <w:rsid w:val="00A128AA"/>
    <w:rsid w:val="00A12B3B"/>
    <w:rsid w:val="00A132B9"/>
    <w:rsid w:val="00A133FA"/>
    <w:rsid w:val="00A13C02"/>
    <w:rsid w:val="00A13E0A"/>
    <w:rsid w:val="00A143B4"/>
    <w:rsid w:val="00A14D63"/>
    <w:rsid w:val="00A1525D"/>
    <w:rsid w:val="00A15587"/>
    <w:rsid w:val="00A16529"/>
    <w:rsid w:val="00A17D3C"/>
    <w:rsid w:val="00A21108"/>
    <w:rsid w:val="00A21F09"/>
    <w:rsid w:val="00A22917"/>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123"/>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67CC"/>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96C"/>
    <w:rsid w:val="00AA7890"/>
    <w:rsid w:val="00AB1A48"/>
    <w:rsid w:val="00AB24A5"/>
    <w:rsid w:val="00AB2544"/>
    <w:rsid w:val="00AB31CA"/>
    <w:rsid w:val="00AB350B"/>
    <w:rsid w:val="00AB4375"/>
    <w:rsid w:val="00AB44B9"/>
    <w:rsid w:val="00AB463A"/>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7E1"/>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1274"/>
    <w:rsid w:val="00B12A56"/>
    <w:rsid w:val="00B131B8"/>
    <w:rsid w:val="00B14182"/>
    <w:rsid w:val="00B1529A"/>
    <w:rsid w:val="00B15863"/>
    <w:rsid w:val="00B15C0B"/>
    <w:rsid w:val="00B15D2E"/>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BA0"/>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1CC1"/>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5C33"/>
    <w:rsid w:val="00BD62F3"/>
    <w:rsid w:val="00BD6C75"/>
    <w:rsid w:val="00BD71CA"/>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0B4A"/>
    <w:rsid w:val="00C01802"/>
    <w:rsid w:val="00C030D9"/>
    <w:rsid w:val="00C03518"/>
    <w:rsid w:val="00C03E8B"/>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077F"/>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20A"/>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A003A"/>
    <w:rsid w:val="00CA17F2"/>
    <w:rsid w:val="00CA1854"/>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6AE2"/>
    <w:rsid w:val="00CB7906"/>
    <w:rsid w:val="00CC0818"/>
    <w:rsid w:val="00CC0A82"/>
    <w:rsid w:val="00CC1194"/>
    <w:rsid w:val="00CC29B9"/>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2E4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A59"/>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40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74C"/>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27A"/>
    <w:rsid w:val="00E95465"/>
    <w:rsid w:val="00E95933"/>
    <w:rsid w:val="00E96978"/>
    <w:rsid w:val="00E96AEE"/>
    <w:rsid w:val="00E9714D"/>
    <w:rsid w:val="00E9777C"/>
    <w:rsid w:val="00E97ADE"/>
    <w:rsid w:val="00EA0DC8"/>
    <w:rsid w:val="00EA0FCC"/>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C7AE5"/>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A73"/>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772"/>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9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0E2624"/>
    <w:rPr>
      <w:lang w:val="en-GB" w:eastAsia="en-US"/>
    </w:rPr>
  </w:style>
  <w:style w:type="character" w:customStyle="1" w:styleId="EQChar">
    <w:name w:val="EQ Char"/>
    <w:link w:val="EQ"/>
    <w:qFormat/>
    <w:locked/>
    <w:rsid w:val="003C7F18"/>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0205997">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64940570">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523479">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6732817">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4</Pages>
  <Words>1486</Words>
  <Characters>7743</Characters>
  <Application>Microsoft Office Word</Application>
  <DocSecurity>0</DocSecurity>
  <Lines>309</Lines>
  <Paragraphs>288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2022-11-01T19:12:00Z</dcterms:created>
  <dcterms:modified xsi:type="dcterms:W3CDTF">2022-11-07T16:44:00Z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